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0A" w:rsidRDefault="001367A5" w:rsidP="00691785">
      <w:pPr>
        <w:jc w:val="right"/>
        <w:rPr>
          <w:rFonts w:ascii="Times New Roman" w:hAnsi="Times New Roman" w:cs="Times New Roman"/>
        </w:rPr>
      </w:pPr>
      <w:r w:rsidRPr="001367A5">
        <w:rPr>
          <w:rFonts w:ascii="Times New Roman" w:hAnsi="Times New Roman" w:cs="Times New Roman"/>
        </w:rPr>
        <w:t>25</w:t>
      </w:r>
      <w:r w:rsidR="008A57E2">
        <w:rPr>
          <w:rFonts w:ascii="Times New Roman" w:hAnsi="Times New Roman" w:cs="Times New Roman"/>
        </w:rPr>
        <w:t>.</w:t>
      </w:r>
      <w:r w:rsidRPr="001367A5">
        <w:rPr>
          <w:rFonts w:ascii="Times New Roman" w:hAnsi="Times New Roman" w:cs="Times New Roman"/>
        </w:rPr>
        <w:t xml:space="preserve"> september 2014</w:t>
      </w:r>
    </w:p>
    <w:p w:rsidR="00691785" w:rsidRDefault="00691785" w:rsidP="00691785">
      <w:pPr>
        <w:jc w:val="right"/>
        <w:rPr>
          <w:rFonts w:ascii="Times New Roman" w:hAnsi="Times New Roman" w:cs="Times New Roman"/>
        </w:rPr>
      </w:pPr>
    </w:p>
    <w:p w:rsidR="00691785" w:rsidRPr="00691785" w:rsidRDefault="00691785" w:rsidP="00691785">
      <w:pPr>
        <w:jc w:val="center"/>
        <w:rPr>
          <w:rFonts w:ascii="Times New Roman" w:hAnsi="Times New Roman" w:cs="Times New Roman"/>
          <w:b/>
          <w:sz w:val="28"/>
          <w:szCs w:val="28"/>
        </w:rPr>
      </w:pPr>
      <w:r>
        <w:rPr>
          <w:rFonts w:ascii="Times New Roman" w:hAnsi="Times New Roman" w:cs="Times New Roman"/>
          <w:b/>
          <w:sz w:val="28"/>
          <w:szCs w:val="28"/>
        </w:rPr>
        <w:t>Meetmed naiste kaasamis</w:t>
      </w:r>
      <w:r w:rsidRPr="00691785">
        <w:rPr>
          <w:rFonts w:ascii="Times New Roman" w:hAnsi="Times New Roman" w:cs="Times New Roman"/>
          <w:b/>
          <w:sz w:val="28"/>
          <w:szCs w:val="28"/>
        </w:rPr>
        <w:t>e</w:t>
      </w:r>
      <w:r>
        <w:rPr>
          <w:rFonts w:ascii="Times New Roman" w:hAnsi="Times New Roman" w:cs="Times New Roman"/>
          <w:b/>
          <w:sz w:val="28"/>
          <w:szCs w:val="28"/>
        </w:rPr>
        <w:t>ks</w:t>
      </w:r>
      <w:r w:rsidRPr="00691785">
        <w:rPr>
          <w:rFonts w:ascii="Times New Roman" w:hAnsi="Times New Roman" w:cs="Times New Roman"/>
          <w:b/>
          <w:sz w:val="28"/>
          <w:szCs w:val="28"/>
        </w:rPr>
        <w:t xml:space="preserve"> ettevõtlusesse</w:t>
      </w:r>
    </w:p>
    <w:p w:rsidR="00FE680A" w:rsidRPr="00EE38B6" w:rsidRDefault="00FE680A" w:rsidP="00EE38B6">
      <w:pPr>
        <w:pStyle w:val="Loendilik"/>
        <w:numPr>
          <w:ilvl w:val="0"/>
          <w:numId w:val="1"/>
        </w:numPr>
        <w:rPr>
          <w:rFonts w:ascii="Times New Roman" w:hAnsi="Times New Roman" w:cs="Times New Roman"/>
          <w:sz w:val="24"/>
          <w:szCs w:val="24"/>
        </w:rPr>
      </w:pPr>
      <w:r w:rsidRPr="00EE38B6">
        <w:rPr>
          <w:rFonts w:ascii="Times New Roman" w:hAnsi="Times New Roman" w:cs="Times New Roman"/>
          <w:sz w:val="24"/>
          <w:szCs w:val="24"/>
        </w:rPr>
        <w:t xml:space="preserve">Milliseid meetmeid kasutavad liikmesriigid toomaks naisi rohkem ettevõtlusse. Kas on olemas just naistele mõeldud meetmed. </w:t>
      </w:r>
    </w:p>
    <w:p w:rsidR="00FE680A" w:rsidRPr="00EE38B6" w:rsidRDefault="00FE680A" w:rsidP="00EE38B6">
      <w:pPr>
        <w:pStyle w:val="Loendilik"/>
        <w:numPr>
          <w:ilvl w:val="0"/>
          <w:numId w:val="1"/>
        </w:numPr>
        <w:rPr>
          <w:rFonts w:ascii="Times New Roman" w:hAnsi="Times New Roman" w:cs="Times New Roman"/>
          <w:sz w:val="24"/>
          <w:szCs w:val="24"/>
        </w:rPr>
      </w:pPr>
      <w:r w:rsidRPr="00EE38B6">
        <w:rPr>
          <w:rFonts w:ascii="Times New Roman" w:hAnsi="Times New Roman" w:cs="Times New Roman"/>
          <w:sz w:val="24"/>
          <w:szCs w:val="24"/>
        </w:rPr>
        <w:t>Kas naistele kohandatakse ka erisusi palgamaksmisel, töökohtade loomisel, kas on mingid regionaalsed erisused.</w:t>
      </w:r>
    </w:p>
    <w:p w:rsidR="00FE680A" w:rsidRPr="00FE680A" w:rsidRDefault="00FE680A" w:rsidP="00FE680A">
      <w:pPr>
        <w:jc w:val="center"/>
        <w:rPr>
          <w:rFonts w:ascii="Times New Roman" w:hAnsi="Times New Roman" w:cs="Times New Roman"/>
          <w:sz w:val="24"/>
          <w:szCs w:val="24"/>
        </w:rPr>
      </w:pPr>
      <w:r w:rsidRPr="00FE680A">
        <w:rPr>
          <w:rFonts w:ascii="Times New Roman" w:hAnsi="Times New Roman" w:cs="Times New Roman"/>
          <w:sz w:val="24"/>
          <w:szCs w:val="24"/>
        </w:rPr>
        <w:t>***</w:t>
      </w:r>
    </w:p>
    <w:p w:rsidR="005A7465" w:rsidRDefault="005A7465" w:rsidP="00FE680A">
      <w:pPr>
        <w:rPr>
          <w:rFonts w:ascii="Times New Roman" w:hAnsi="Times New Roman" w:cs="Times New Roman"/>
          <w:sz w:val="24"/>
          <w:szCs w:val="24"/>
        </w:rPr>
      </w:pPr>
      <w:r>
        <w:rPr>
          <w:rFonts w:ascii="Times New Roman" w:hAnsi="Times New Roman" w:cs="Times New Roman"/>
          <w:sz w:val="24"/>
          <w:szCs w:val="24"/>
        </w:rPr>
        <w:t>Naiste kaasa</w:t>
      </w:r>
      <w:r w:rsidR="00691785">
        <w:rPr>
          <w:rFonts w:ascii="Times New Roman" w:hAnsi="Times New Roman" w:cs="Times New Roman"/>
          <w:sz w:val="24"/>
          <w:szCs w:val="24"/>
        </w:rPr>
        <w:t>mine ettevõtlusse on EL tasemel</w:t>
      </w:r>
      <w:r>
        <w:rPr>
          <w:rFonts w:ascii="Times New Roman" w:hAnsi="Times New Roman" w:cs="Times New Roman"/>
          <w:sz w:val="24"/>
          <w:szCs w:val="24"/>
        </w:rPr>
        <w:t xml:space="preserve"> ja ka riikides eraldi peamiselt seotud </w:t>
      </w:r>
      <w:bookmarkStart w:id="0" w:name="_GoBack"/>
      <w:bookmarkEnd w:id="0"/>
      <w:r w:rsidR="00E96D9E">
        <w:rPr>
          <w:rFonts w:ascii="Times New Roman" w:hAnsi="Times New Roman" w:cs="Times New Roman"/>
          <w:sz w:val="24"/>
          <w:szCs w:val="24"/>
        </w:rPr>
        <w:t xml:space="preserve">mitmesuguste </w:t>
      </w:r>
      <w:r w:rsidR="00691785">
        <w:rPr>
          <w:rFonts w:ascii="Times New Roman" w:hAnsi="Times New Roman" w:cs="Times New Roman"/>
          <w:sz w:val="24"/>
          <w:szCs w:val="24"/>
        </w:rPr>
        <w:t>j</w:t>
      </w:r>
      <w:r>
        <w:rPr>
          <w:rFonts w:ascii="Times New Roman" w:hAnsi="Times New Roman" w:cs="Times New Roman"/>
          <w:sz w:val="24"/>
          <w:szCs w:val="24"/>
        </w:rPr>
        <w:t>ätkusuutlikkuse programmide ja arengukava</w:t>
      </w:r>
      <w:r w:rsidR="001367A5">
        <w:rPr>
          <w:rFonts w:ascii="Times New Roman" w:hAnsi="Times New Roman" w:cs="Times New Roman"/>
          <w:sz w:val="24"/>
          <w:szCs w:val="24"/>
        </w:rPr>
        <w:t>d</w:t>
      </w:r>
      <w:r>
        <w:rPr>
          <w:rFonts w:ascii="Times New Roman" w:hAnsi="Times New Roman" w:cs="Times New Roman"/>
          <w:sz w:val="24"/>
          <w:szCs w:val="24"/>
        </w:rPr>
        <w:t xml:space="preserve">ega (Lissaboni kokkulepped). Seda hinnatakse kvantitatiivselt </w:t>
      </w:r>
      <w:proofErr w:type="spellStart"/>
      <w:r>
        <w:rPr>
          <w:rFonts w:ascii="Times New Roman" w:hAnsi="Times New Roman" w:cs="Times New Roman"/>
          <w:sz w:val="24"/>
          <w:szCs w:val="24"/>
        </w:rPr>
        <w:t>Eurostati</w:t>
      </w:r>
      <w:proofErr w:type="spellEnd"/>
      <w:r>
        <w:rPr>
          <w:rFonts w:ascii="Times New Roman" w:hAnsi="Times New Roman" w:cs="Times New Roman"/>
          <w:sz w:val="24"/>
          <w:szCs w:val="24"/>
        </w:rPr>
        <w:t xml:space="preserve"> poolt esmajoones soolise palgalõhe laudu (eeldusel, et kõrgem palk viib tulemusrikkamale hõivele). Meetmete rakendamise osalised on ootuspäraselt nn. sotsiaalpartnerid (valitsus, tööandjad ning nende liidud ja töövõtjate ametiühingud või nende katusorganisatsioonid).</w:t>
      </w:r>
      <w:r w:rsidR="009D3A50">
        <w:rPr>
          <w:rFonts w:ascii="Times New Roman" w:hAnsi="Times New Roman" w:cs="Times New Roman"/>
          <w:sz w:val="24"/>
          <w:szCs w:val="24"/>
        </w:rPr>
        <w:t xml:space="preserve"> Üldine ja mõneti deklaratiivne EL poliitika peamiste suundade ülevaade tulemuslikumast naiste kaasamisest ettevõtlusse on toodud komisjoni vastaval kodulehel </w:t>
      </w:r>
      <w:hyperlink r:id="rId5" w:history="1">
        <w:r w:rsidR="009D3A50" w:rsidRPr="00586A48">
          <w:rPr>
            <w:rStyle w:val="Hperlink"/>
            <w:rFonts w:ascii="Times New Roman" w:hAnsi="Times New Roman" w:cs="Times New Roman"/>
            <w:sz w:val="24"/>
            <w:szCs w:val="24"/>
          </w:rPr>
          <w:t>http://ec.europa.eu/justice/gender-equality/equality-pays-off/women-mean-business/index_en.htm</w:t>
        </w:r>
      </w:hyperlink>
    </w:p>
    <w:p w:rsidR="009D3A50" w:rsidRDefault="009D3A50" w:rsidP="00FE680A">
      <w:pPr>
        <w:rPr>
          <w:rFonts w:ascii="Times New Roman" w:hAnsi="Times New Roman" w:cs="Times New Roman"/>
          <w:sz w:val="24"/>
          <w:szCs w:val="24"/>
        </w:rPr>
      </w:pPr>
      <w:r>
        <w:rPr>
          <w:rFonts w:ascii="Times New Roman" w:hAnsi="Times New Roman" w:cs="Times New Roman"/>
          <w:sz w:val="24"/>
          <w:szCs w:val="24"/>
        </w:rPr>
        <w:t>Riikide lõikes on vastavate poliitikameetmete loetelus esindatud järgmised sammud.</w:t>
      </w:r>
    </w:p>
    <w:p w:rsidR="009D3A50" w:rsidRDefault="009D3A50" w:rsidP="006B64EB">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Soome – soolise palgalõhe vähendamise kolmepoolne programm 2006-2015 (</w:t>
      </w:r>
      <w:proofErr w:type="spellStart"/>
      <w:r>
        <w:rPr>
          <w:rFonts w:ascii="Times New Roman" w:hAnsi="Times New Roman" w:cs="Times New Roman"/>
          <w:sz w:val="24"/>
          <w:szCs w:val="24"/>
        </w:rPr>
        <w:t>eesmärgistades</w:t>
      </w:r>
      <w:proofErr w:type="spellEnd"/>
      <w:r>
        <w:rPr>
          <w:rFonts w:ascii="Times New Roman" w:hAnsi="Times New Roman" w:cs="Times New Roman"/>
          <w:sz w:val="24"/>
          <w:szCs w:val="24"/>
        </w:rPr>
        <w:t xml:space="preserve"> soolise palgalõhe vähendamise20 %-lt 15 %-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kasutades selleks kolmepoolseid kokkuleppeid sotsiaalpartnerite vahel</w:t>
      </w:r>
      <w:r w:rsidR="006B64EB">
        <w:rPr>
          <w:rFonts w:ascii="Times New Roman" w:hAnsi="Times New Roman" w:cs="Times New Roman"/>
          <w:sz w:val="24"/>
          <w:szCs w:val="24"/>
        </w:rPr>
        <w:t xml:space="preserve">. </w:t>
      </w:r>
      <w:r w:rsidR="00691785">
        <w:rPr>
          <w:rFonts w:ascii="Times New Roman" w:hAnsi="Times New Roman" w:cs="Times New Roman"/>
          <w:sz w:val="24"/>
          <w:szCs w:val="24"/>
        </w:rPr>
        <w:br/>
      </w:r>
      <w:hyperlink r:id="rId6" w:history="1">
        <w:r w:rsidR="00691785" w:rsidRPr="004E6FC1">
          <w:rPr>
            <w:rStyle w:val="Hperlink"/>
            <w:rFonts w:ascii="Times New Roman" w:hAnsi="Times New Roman" w:cs="Times New Roman"/>
            <w:sz w:val="24"/>
            <w:szCs w:val="24"/>
          </w:rPr>
          <w:t>http://www.stm.fi/tasa-arvo/samapalkkaisuus</w:t>
        </w:r>
      </w:hyperlink>
      <w:r w:rsidR="00691785">
        <w:rPr>
          <w:rFonts w:ascii="Times New Roman" w:hAnsi="Times New Roman" w:cs="Times New Roman"/>
          <w:sz w:val="24"/>
          <w:szCs w:val="24"/>
        </w:rPr>
        <w:t xml:space="preserve"> </w:t>
      </w:r>
    </w:p>
    <w:p w:rsidR="009D3A50" w:rsidRDefault="009D3A50" w:rsidP="006B64EB">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Portugal – nn neljas [soolise] võrdsuse plaan, fookusega ettevõte sisese segregatsiooni ja diskrimineerimise vähendamiseks</w:t>
      </w:r>
      <w:r w:rsidR="006B64EB">
        <w:rPr>
          <w:rFonts w:ascii="Times New Roman" w:hAnsi="Times New Roman" w:cs="Times New Roman"/>
          <w:sz w:val="24"/>
          <w:szCs w:val="24"/>
        </w:rPr>
        <w:t xml:space="preserve">. </w:t>
      </w:r>
      <w:hyperlink r:id="rId7" w:history="1">
        <w:r w:rsidR="00691785" w:rsidRPr="004E6FC1">
          <w:rPr>
            <w:rStyle w:val="Hperlink"/>
            <w:rFonts w:ascii="Times New Roman" w:hAnsi="Times New Roman" w:cs="Times New Roman"/>
            <w:sz w:val="24"/>
            <w:szCs w:val="24"/>
          </w:rPr>
          <w:t>http://www.cite.gov.pt/asstscite/downloads/IV_PNI_2011_2013.pdf</w:t>
        </w:r>
      </w:hyperlink>
      <w:r w:rsidR="00691785">
        <w:rPr>
          <w:rFonts w:ascii="Times New Roman" w:hAnsi="Times New Roman" w:cs="Times New Roman"/>
          <w:sz w:val="24"/>
          <w:szCs w:val="24"/>
        </w:rPr>
        <w:t xml:space="preserve"> </w:t>
      </w:r>
    </w:p>
    <w:p w:rsidR="006B64EB" w:rsidRPr="00691785" w:rsidRDefault="009D3A50" w:rsidP="00691785">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 xml:space="preserve">Leedu – meeste ja naiste võrdsete võimaluste </w:t>
      </w:r>
      <w:r w:rsidR="006B64EB">
        <w:rPr>
          <w:rFonts w:ascii="Times New Roman" w:hAnsi="Times New Roman" w:cs="Times New Roman"/>
          <w:sz w:val="24"/>
          <w:szCs w:val="24"/>
        </w:rPr>
        <w:t>l</w:t>
      </w:r>
      <w:r>
        <w:rPr>
          <w:rFonts w:ascii="Times New Roman" w:hAnsi="Times New Roman" w:cs="Times New Roman"/>
          <w:sz w:val="24"/>
          <w:szCs w:val="24"/>
        </w:rPr>
        <w:t>oomise tegevuskava kuni aastani 2014 (sihiga luua naistele rohkem töökohti, kuid mitte ilmtingimata ettevõtluses, vaid pigem tõsta naiste palka seal, kus nad enamasti töötavad, so hariduses, kunst ja sotsiaalhoole jne)</w:t>
      </w:r>
      <w:r w:rsidR="006B64EB">
        <w:rPr>
          <w:rFonts w:ascii="Times New Roman" w:hAnsi="Times New Roman" w:cs="Times New Roman"/>
          <w:sz w:val="24"/>
          <w:szCs w:val="24"/>
        </w:rPr>
        <w:t xml:space="preserve">. </w:t>
      </w:r>
      <w:hyperlink r:id="rId8" w:history="1">
        <w:r w:rsidR="00691785" w:rsidRPr="004E6FC1">
          <w:rPr>
            <w:rStyle w:val="Hperlink"/>
            <w:rFonts w:ascii="Times New Roman" w:hAnsi="Times New Roman" w:cs="Times New Roman"/>
            <w:sz w:val="24"/>
            <w:szCs w:val="24"/>
          </w:rPr>
          <w:t>http://www3.lrs.lt/pls/inter3/dokpaieska.showdoc_l?p_id=372298&amp;p_query=&amp;p_tr2</w:t>
        </w:r>
      </w:hyperlink>
      <w:r w:rsidR="00691785">
        <w:rPr>
          <w:rFonts w:ascii="Times New Roman" w:hAnsi="Times New Roman" w:cs="Times New Roman"/>
          <w:sz w:val="24"/>
          <w:szCs w:val="24"/>
        </w:rPr>
        <w:t xml:space="preserve"> </w:t>
      </w:r>
    </w:p>
    <w:p w:rsidR="00E238B1" w:rsidRDefault="00E238B1" w:rsidP="009D3A50">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Rootsi – 2009 aastal vastu võetud diskrimineerimise vastane seadus seab eesmärgiks tööandjate ja töövõtjate tegevuse võrdse töö eest võrdse palga maksmiseks ja kohustab ettevõtjaid iga kolme aasta tagant vastava raportiga oma sammudest aru andma.</w:t>
      </w:r>
    </w:p>
    <w:p w:rsidR="00E238B1" w:rsidRDefault="00E238B1" w:rsidP="009D3A50">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Austria – rahvuslik tööturul soolise võrdõiguslikkuse saavutamise tegevuskava (</w:t>
      </w:r>
      <w:proofErr w:type="spellStart"/>
      <w:r>
        <w:rPr>
          <w:rFonts w:ascii="Times New Roman" w:hAnsi="Times New Roman" w:cs="Times New Roman"/>
          <w:sz w:val="24"/>
          <w:szCs w:val="24"/>
        </w:rPr>
        <w:t>Action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w:t>
      </w:r>
      <w:proofErr w:type="spellEnd"/>
      <w:r>
        <w:rPr>
          <w:rFonts w:ascii="Times New Roman" w:hAnsi="Times New Roman" w:cs="Times New Roman"/>
          <w:sz w:val="24"/>
          <w:szCs w:val="24"/>
        </w:rPr>
        <w:t>) kohustab ettevõtjaid aru andma sarnaselt Rootsiga</w:t>
      </w:r>
    </w:p>
    <w:p w:rsidR="00E238B1" w:rsidRDefault="00E238B1" w:rsidP="009D3A50">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Belgias on palgavõrdsuse aruanne kohustuslik üle 50 töötajaga ettevõtetele ja töökohade klassifikaator peab olema nn. sooneutraalne</w:t>
      </w:r>
    </w:p>
    <w:p w:rsidR="00E238B1" w:rsidRDefault="00E238B1" w:rsidP="009D3A50">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Prantsusmaal peavad ettevõtted kollektiivlepingute sõlmimisel lisama vastava soolise palgalõhe vähendamise meetmete kava.</w:t>
      </w:r>
    </w:p>
    <w:p w:rsidR="00E238B1" w:rsidRPr="009D3A50" w:rsidRDefault="00E238B1" w:rsidP="009D3A50">
      <w:pPr>
        <w:pStyle w:val="Loendilik"/>
        <w:numPr>
          <w:ilvl w:val="0"/>
          <w:numId w:val="2"/>
        </w:numPr>
        <w:rPr>
          <w:rFonts w:ascii="Times New Roman" w:hAnsi="Times New Roman" w:cs="Times New Roman"/>
          <w:sz w:val="24"/>
          <w:szCs w:val="24"/>
        </w:rPr>
      </w:pPr>
      <w:r>
        <w:rPr>
          <w:rFonts w:ascii="Times New Roman" w:hAnsi="Times New Roman" w:cs="Times New Roman"/>
          <w:sz w:val="24"/>
          <w:szCs w:val="24"/>
        </w:rPr>
        <w:t>Propagandistlikud suunaga Võrdse palga päeva (</w:t>
      </w:r>
      <w:proofErr w:type="spellStart"/>
      <w:r w:rsidRPr="006B64EB">
        <w:rPr>
          <w:rFonts w:ascii="Times New Roman" w:hAnsi="Times New Roman" w:cs="Times New Roman"/>
          <w:i/>
          <w:sz w:val="24"/>
          <w:szCs w:val="24"/>
        </w:rPr>
        <w:t>Equal</w:t>
      </w:r>
      <w:proofErr w:type="spellEnd"/>
      <w:r w:rsidRPr="006B64EB">
        <w:rPr>
          <w:rFonts w:ascii="Times New Roman" w:hAnsi="Times New Roman" w:cs="Times New Roman"/>
          <w:i/>
          <w:sz w:val="24"/>
          <w:szCs w:val="24"/>
        </w:rPr>
        <w:t xml:space="preserve"> </w:t>
      </w:r>
      <w:proofErr w:type="spellStart"/>
      <w:r w:rsidRPr="006B64EB">
        <w:rPr>
          <w:rFonts w:ascii="Times New Roman" w:hAnsi="Times New Roman" w:cs="Times New Roman"/>
          <w:i/>
          <w:sz w:val="24"/>
          <w:szCs w:val="24"/>
        </w:rPr>
        <w:t>Pay</w:t>
      </w:r>
      <w:proofErr w:type="spellEnd"/>
      <w:r w:rsidRPr="006B64EB">
        <w:rPr>
          <w:rFonts w:ascii="Times New Roman" w:hAnsi="Times New Roman" w:cs="Times New Roman"/>
          <w:i/>
          <w:sz w:val="24"/>
          <w:szCs w:val="24"/>
        </w:rPr>
        <w:t xml:space="preserve"> </w:t>
      </w:r>
      <w:proofErr w:type="spellStart"/>
      <w:r w:rsidRPr="006B64EB">
        <w:rPr>
          <w:rFonts w:ascii="Times New Roman" w:hAnsi="Times New Roman" w:cs="Times New Roman"/>
          <w:i/>
          <w:sz w:val="24"/>
          <w:szCs w:val="24"/>
        </w:rPr>
        <w:t>Day</w:t>
      </w:r>
      <w:proofErr w:type="spellEnd"/>
      <w:r>
        <w:rPr>
          <w:rFonts w:ascii="Times New Roman" w:hAnsi="Times New Roman" w:cs="Times New Roman"/>
          <w:sz w:val="24"/>
          <w:szCs w:val="24"/>
        </w:rPr>
        <w:t xml:space="preserve">) </w:t>
      </w:r>
      <w:r w:rsidR="00E96D9E">
        <w:rPr>
          <w:rFonts w:ascii="Times New Roman" w:hAnsi="Times New Roman" w:cs="Times New Roman"/>
          <w:sz w:val="24"/>
          <w:szCs w:val="24"/>
        </w:rPr>
        <w:t xml:space="preserve">tähistamist </w:t>
      </w:r>
      <w:r>
        <w:rPr>
          <w:rFonts w:ascii="Times New Roman" w:hAnsi="Times New Roman" w:cs="Times New Roman"/>
          <w:sz w:val="24"/>
          <w:szCs w:val="24"/>
        </w:rPr>
        <w:t xml:space="preserve">alustati Belgias (2005) ja praegu märgitakse ära ka </w:t>
      </w:r>
      <w:r w:rsidR="006B64EB">
        <w:rPr>
          <w:rFonts w:ascii="Times New Roman" w:hAnsi="Times New Roman" w:cs="Times New Roman"/>
          <w:sz w:val="24"/>
          <w:szCs w:val="24"/>
        </w:rPr>
        <w:t xml:space="preserve">UK, </w:t>
      </w:r>
      <w:r>
        <w:rPr>
          <w:rFonts w:ascii="Times New Roman" w:hAnsi="Times New Roman" w:cs="Times New Roman"/>
          <w:sz w:val="24"/>
          <w:szCs w:val="24"/>
        </w:rPr>
        <w:t>Tsehhis</w:t>
      </w:r>
      <w:r w:rsidR="006B64EB">
        <w:rPr>
          <w:rFonts w:ascii="Times New Roman" w:hAnsi="Times New Roman" w:cs="Times New Roman"/>
          <w:sz w:val="24"/>
          <w:szCs w:val="24"/>
        </w:rPr>
        <w:t>, Hispaanias</w:t>
      </w:r>
      <w:r>
        <w:rPr>
          <w:rFonts w:ascii="Times New Roman" w:hAnsi="Times New Roman" w:cs="Times New Roman"/>
          <w:sz w:val="24"/>
          <w:szCs w:val="24"/>
        </w:rPr>
        <w:t xml:space="preserve"> ja </w:t>
      </w:r>
      <w:r w:rsidR="006B64EB">
        <w:rPr>
          <w:rFonts w:ascii="Times New Roman" w:hAnsi="Times New Roman" w:cs="Times New Roman"/>
          <w:sz w:val="24"/>
          <w:szCs w:val="24"/>
        </w:rPr>
        <w:t xml:space="preserve">ka </w:t>
      </w:r>
      <w:r>
        <w:rPr>
          <w:rFonts w:ascii="Times New Roman" w:hAnsi="Times New Roman" w:cs="Times New Roman"/>
          <w:sz w:val="24"/>
          <w:szCs w:val="24"/>
        </w:rPr>
        <w:t>Eestis</w:t>
      </w:r>
    </w:p>
    <w:p w:rsidR="009D3A50" w:rsidRDefault="006B64EB" w:rsidP="00FE680A">
      <w:pPr>
        <w:rPr>
          <w:rFonts w:ascii="Times New Roman" w:hAnsi="Times New Roman" w:cs="Times New Roman"/>
          <w:sz w:val="24"/>
          <w:szCs w:val="24"/>
        </w:rPr>
      </w:pPr>
      <w:r>
        <w:rPr>
          <w:rFonts w:ascii="Times New Roman" w:hAnsi="Times New Roman" w:cs="Times New Roman"/>
          <w:sz w:val="24"/>
          <w:szCs w:val="24"/>
        </w:rPr>
        <w:lastRenderedPageBreak/>
        <w:t xml:space="preserve">Põhjalikum ülevaade EL riikides vastu võetud </w:t>
      </w:r>
      <w:r w:rsidR="00E96D9E">
        <w:rPr>
          <w:rFonts w:ascii="Times New Roman" w:hAnsi="Times New Roman" w:cs="Times New Roman"/>
          <w:sz w:val="24"/>
          <w:szCs w:val="24"/>
        </w:rPr>
        <w:t xml:space="preserve">eelpool loetletud </w:t>
      </w:r>
      <w:r>
        <w:rPr>
          <w:rFonts w:ascii="Times New Roman" w:hAnsi="Times New Roman" w:cs="Times New Roman"/>
          <w:sz w:val="24"/>
          <w:szCs w:val="24"/>
        </w:rPr>
        <w:t xml:space="preserve">meetmetest koos </w:t>
      </w:r>
      <w:r w:rsidR="00E96D9E">
        <w:rPr>
          <w:rFonts w:ascii="Times New Roman" w:hAnsi="Times New Roman" w:cs="Times New Roman"/>
          <w:sz w:val="24"/>
          <w:szCs w:val="24"/>
        </w:rPr>
        <w:t xml:space="preserve">vastavate </w:t>
      </w:r>
      <w:r>
        <w:rPr>
          <w:rFonts w:ascii="Times New Roman" w:hAnsi="Times New Roman" w:cs="Times New Roman"/>
          <w:sz w:val="24"/>
          <w:szCs w:val="24"/>
        </w:rPr>
        <w:t xml:space="preserve">viidetega </w:t>
      </w:r>
      <w:r w:rsidR="00E96D9E">
        <w:rPr>
          <w:rFonts w:ascii="Times New Roman" w:hAnsi="Times New Roman" w:cs="Times New Roman"/>
          <w:sz w:val="24"/>
          <w:szCs w:val="24"/>
        </w:rPr>
        <w:t xml:space="preserve">selle töö lõpus </w:t>
      </w:r>
      <w:r>
        <w:rPr>
          <w:rFonts w:ascii="Times New Roman" w:hAnsi="Times New Roman" w:cs="Times New Roman"/>
          <w:sz w:val="24"/>
          <w:szCs w:val="24"/>
        </w:rPr>
        <w:t xml:space="preserve">on näiteks ära toodud EL vastavas ülevaates </w:t>
      </w:r>
      <w:proofErr w:type="spellStart"/>
      <w:r w:rsidRPr="001367A5">
        <w:rPr>
          <w:rFonts w:ascii="Times New Roman" w:hAnsi="Times New Roman" w:cs="Times New Roman"/>
          <w:i/>
          <w:sz w:val="24"/>
          <w:szCs w:val="24"/>
        </w:rPr>
        <w:t>Tackling</w:t>
      </w:r>
      <w:proofErr w:type="spellEnd"/>
      <w:r w:rsidRPr="001367A5">
        <w:rPr>
          <w:rFonts w:ascii="Times New Roman" w:hAnsi="Times New Roman" w:cs="Times New Roman"/>
          <w:i/>
          <w:sz w:val="24"/>
          <w:szCs w:val="24"/>
        </w:rPr>
        <w:t xml:space="preserve"> </w:t>
      </w:r>
      <w:proofErr w:type="spellStart"/>
      <w:r w:rsidRPr="001367A5">
        <w:rPr>
          <w:rFonts w:ascii="Times New Roman" w:hAnsi="Times New Roman" w:cs="Times New Roman"/>
          <w:i/>
          <w:sz w:val="24"/>
          <w:szCs w:val="24"/>
        </w:rPr>
        <w:t>gender</w:t>
      </w:r>
      <w:proofErr w:type="spellEnd"/>
      <w:r w:rsidRPr="001367A5">
        <w:rPr>
          <w:rFonts w:ascii="Times New Roman" w:hAnsi="Times New Roman" w:cs="Times New Roman"/>
          <w:i/>
          <w:sz w:val="24"/>
          <w:szCs w:val="24"/>
        </w:rPr>
        <w:t xml:space="preserve"> </w:t>
      </w:r>
      <w:proofErr w:type="spellStart"/>
      <w:r w:rsidRPr="001367A5">
        <w:rPr>
          <w:rFonts w:ascii="Times New Roman" w:hAnsi="Times New Roman" w:cs="Times New Roman"/>
          <w:i/>
          <w:sz w:val="24"/>
          <w:szCs w:val="24"/>
        </w:rPr>
        <w:t>pay</w:t>
      </w:r>
      <w:proofErr w:type="spellEnd"/>
      <w:r w:rsidRPr="001367A5">
        <w:rPr>
          <w:rFonts w:ascii="Times New Roman" w:hAnsi="Times New Roman" w:cs="Times New Roman"/>
          <w:i/>
          <w:sz w:val="24"/>
          <w:szCs w:val="24"/>
        </w:rPr>
        <w:t xml:space="preserve"> </w:t>
      </w:r>
      <w:proofErr w:type="spellStart"/>
      <w:r w:rsidRPr="001367A5">
        <w:rPr>
          <w:rFonts w:ascii="Times New Roman" w:hAnsi="Times New Roman" w:cs="Times New Roman"/>
          <w:i/>
          <w:sz w:val="24"/>
          <w:szCs w:val="24"/>
        </w:rPr>
        <w:t>Gap</w:t>
      </w:r>
      <w:proofErr w:type="spellEnd"/>
      <w:r>
        <w:rPr>
          <w:rFonts w:ascii="Times New Roman" w:hAnsi="Times New Roman" w:cs="Times New Roman"/>
          <w:sz w:val="24"/>
          <w:szCs w:val="24"/>
        </w:rPr>
        <w:t xml:space="preserve"> (2013)</w:t>
      </w:r>
    </w:p>
    <w:p w:rsidR="006B64EB" w:rsidRDefault="00691785" w:rsidP="00FE680A">
      <w:pPr>
        <w:rPr>
          <w:rFonts w:ascii="Times New Roman" w:hAnsi="Times New Roman" w:cs="Times New Roman"/>
          <w:sz w:val="24"/>
          <w:szCs w:val="24"/>
        </w:rPr>
      </w:pPr>
      <w:hyperlink r:id="rId9" w:history="1">
        <w:r w:rsidR="006B64EB" w:rsidRPr="00586A48">
          <w:rPr>
            <w:rStyle w:val="Hperlink"/>
            <w:rFonts w:ascii="Times New Roman" w:hAnsi="Times New Roman" w:cs="Times New Roman"/>
            <w:sz w:val="24"/>
            <w:szCs w:val="24"/>
          </w:rPr>
          <w:t>http://ec.europa.eu/justice/gender-equality/files/gender_pay_gap/gpg_brochure_2013_final_en.pdf</w:t>
        </w:r>
      </w:hyperlink>
    </w:p>
    <w:p w:rsidR="00C438F2" w:rsidRDefault="00C438F2" w:rsidP="00FE680A">
      <w:pPr>
        <w:rPr>
          <w:rFonts w:ascii="Times New Roman" w:hAnsi="Times New Roman" w:cs="Times New Roman"/>
          <w:sz w:val="24"/>
          <w:szCs w:val="24"/>
        </w:rPr>
      </w:pPr>
      <w:r>
        <w:rPr>
          <w:rFonts w:ascii="Times New Roman" w:hAnsi="Times New Roman" w:cs="Times New Roman"/>
          <w:sz w:val="24"/>
          <w:szCs w:val="24"/>
        </w:rPr>
        <w:t xml:space="preserve">Ka Eestis on </w:t>
      </w:r>
      <w:proofErr w:type="spellStart"/>
      <w:r>
        <w:rPr>
          <w:rFonts w:ascii="Times New Roman" w:hAnsi="Times New Roman" w:cs="Times New Roman"/>
          <w:sz w:val="24"/>
          <w:szCs w:val="24"/>
        </w:rPr>
        <w:t>naisettevõtluse</w:t>
      </w:r>
      <w:proofErr w:type="spellEnd"/>
      <w:r>
        <w:rPr>
          <w:rFonts w:ascii="Times New Roman" w:hAnsi="Times New Roman" w:cs="Times New Roman"/>
          <w:sz w:val="24"/>
          <w:szCs w:val="24"/>
        </w:rPr>
        <w:t xml:space="preserve"> arendamise võimalike meetmete osas uuring olemas (</w:t>
      </w:r>
      <w:proofErr w:type="spellStart"/>
      <w:r>
        <w:rPr>
          <w:rFonts w:ascii="Times New Roman" w:hAnsi="Times New Roman" w:cs="Times New Roman"/>
          <w:sz w:val="24"/>
          <w:szCs w:val="24"/>
        </w:rPr>
        <w:t>Praxis</w:t>
      </w:r>
      <w:proofErr w:type="spellEnd"/>
      <w:r>
        <w:rPr>
          <w:rFonts w:ascii="Times New Roman" w:hAnsi="Times New Roman" w:cs="Times New Roman"/>
          <w:sz w:val="24"/>
          <w:szCs w:val="24"/>
        </w:rPr>
        <w:t>, 2010, lk 50</w:t>
      </w:r>
      <w:r w:rsidR="00E96D9E">
        <w:rPr>
          <w:rFonts w:ascii="Times New Roman" w:hAnsi="Times New Roman" w:cs="Times New Roman"/>
          <w:sz w:val="24"/>
          <w:szCs w:val="24"/>
        </w:rPr>
        <w:t xml:space="preserve"> jj.</w:t>
      </w:r>
      <w:r>
        <w:rPr>
          <w:rFonts w:ascii="Times New Roman" w:hAnsi="Times New Roman" w:cs="Times New Roman"/>
          <w:sz w:val="24"/>
          <w:szCs w:val="24"/>
        </w:rPr>
        <w:t>)</w:t>
      </w:r>
    </w:p>
    <w:p w:rsidR="00C438F2" w:rsidRDefault="00C438F2" w:rsidP="00C438F2">
      <w:pPr>
        <w:rPr>
          <w:rFonts w:ascii="Times New Roman" w:hAnsi="Times New Roman" w:cs="Times New Roman"/>
          <w:sz w:val="24"/>
          <w:szCs w:val="24"/>
        </w:rPr>
      </w:pPr>
      <w:r>
        <w:rPr>
          <w:rFonts w:ascii="Times New Roman" w:hAnsi="Times New Roman" w:cs="Times New Roman"/>
          <w:sz w:val="24"/>
          <w:szCs w:val="24"/>
        </w:rPr>
        <w:t>Uurijad sedastavad, et l</w:t>
      </w:r>
      <w:r w:rsidRPr="00C438F2">
        <w:rPr>
          <w:rFonts w:ascii="Times New Roman" w:hAnsi="Times New Roman" w:cs="Times New Roman"/>
          <w:sz w:val="24"/>
          <w:szCs w:val="24"/>
        </w:rPr>
        <w:t xml:space="preserve">isaks otsestele meetmetele, mis suurendaks </w:t>
      </w:r>
      <w:proofErr w:type="spellStart"/>
      <w:r w:rsidRPr="00C438F2">
        <w:rPr>
          <w:rFonts w:ascii="Times New Roman" w:hAnsi="Times New Roman" w:cs="Times New Roman"/>
          <w:sz w:val="24"/>
          <w:szCs w:val="24"/>
        </w:rPr>
        <w:t>naisettevõtlust</w:t>
      </w:r>
      <w:proofErr w:type="spellEnd"/>
      <w:r w:rsidRPr="00C438F2">
        <w:rPr>
          <w:rFonts w:ascii="Times New Roman" w:hAnsi="Times New Roman" w:cs="Times New Roman"/>
          <w:sz w:val="24"/>
          <w:szCs w:val="24"/>
        </w:rPr>
        <w:t xml:space="preserve"> ning naiste osakaalu juhtide hulgas, on kindlasti oluliseks vertikaalse segregatsiooni ning klaaslae efekti vähendamiseks kõik meetmed, mis  aitavad  kaasa  paremale  töö-  ja  pereelu  ühitamisele  ning  mis  vähendavad  naiste </w:t>
      </w:r>
      <w:proofErr w:type="spellStart"/>
      <w:r w:rsidRPr="00C438F2">
        <w:rPr>
          <w:rFonts w:ascii="Times New Roman" w:hAnsi="Times New Roman" w:cs="Times New Roman"/>
          <w:sz w:val="24"/>
          <w:szCs w:val="24"/>
        </w:rPr>
        <w:t>topeltkoormust</w:t>
      </w:r>
      <w:proofErr w:type="spellEnd"/>
      <w:r w:rsidRPr="00C438F2">
        <w:rPr>
          <w:rFonts w:ascii="Times New Roman" w:hAnsi="Times New Roman" w:cs="Times New Roman"/>
          <w:sz w:val="24"/>
          <w:szCs w:val="24"/>
        </w:rPr>
        <w:t>. See, et naistel on võrreldes meestega suuremad paralleelsed kohustused tööl ning kodus,  pärsib  nende  tõusu  karjääriredelil.</w:t>
      </w:r>
    </w:p>
    <w:p w:rsidR="00C438F2" w:rsidRDefault="00C438F2" w:rsidP="00FE680A">
      <w:pPr>
        <w:rPr>
          <w:rFonts w:ascii="Times New Roman" w:hAnsi="Times New Roman" w:cs="Times New Roman"/>
          <w:sz w:val="24"/>
          <w:szCs w:val="24"/>
        </w:rPr>
      </w:pPr>
      <w:r>
        <w:rPr>
          <w:rFonts w:ascii="Times New Roman" w:hAnsi="Times New Roman" w:cs="Times New Roman"/>
          <w:sz w:val="24"/>
          <w:szCs w:val="24"/>
        </w:rPr>
        <w:t xml:space="preserve">Ühe meetmena kirjeldab </w:t>
      </w:r>
      <w:proofErr w:type="spellStart"/>
      <w:r w:rsidR="00E96D9E">
        <w:rPr>
          <w:rFonts w:ascii="Times New Roman" w:hAnsi="Times New Roman" w:cs="Times New Roman"/>
          <w:sz w:val="24"/>
          <w:szCs w:val="24"/>
        </w:rPr>
        <w:t>Praxis</w:t>
      </w:r>
      <w:proofErr w:type="spellEnd"/>
      <w:r w:rsidR="00E96D9E">
        <w:rPr>
          <w:rFonts w:ascii="Times New Roman" w:hAnsi="Times New Roman" w:cs="Times New Roman"/>
          <w:sz w:val="24"/>
          <w:szCs w:val="24"/>
        </w:rPr>
        <w:t xml:space="preserve"> nn kvootide kehtestamis</w:t>
      </w:r>
      <w:r>
        <w:rPr>
          <w:rFonts w:ascii="Times New Roman" w:hAnsi="Times New Roman" w:cs="Times New Roman"/>
          <w:sz w:val="24"/>
          <w:szCs w:val="24"/>
        </w:rPr>
        <w:t>t.</w:t>
      </w:r>
    </w:p>
    <w:p w:rsidR="00C438F2" w:rsidRPr="00C438F2" w:rsidRDefault="00C438F2" w:rsidP="00C438F2">
      <w:pPr>
        <w:rPr>
          <w:rFonts w:ascii="Times New Roman" w:hAnsi="Times New Roman" w:cs="Times New Roman"/>
          <w:sz w:val="24"/>
          <w:szCs w:val="24"/>
        </w:rPr>
      </w:pPr>
      <w:r w:rsidRPr="00C438F2">
        <w:rPr>
          <w:rFonts w:ascii="Times New Roman" w:hAnsi="Times New Roman" w:cs="Times New Roman"/>
          <w:sz w:val="24"/>
          <w:szCs w:val="24"/>
        </w:rPr>
        <w:t>Kvootide kehtestamine</w:t>
      </w:r>
    </w:p>
    <w:p w:rsidR="00C438F2" w:rsidRPr="00C438F2" w:rsidRDefault="00C438F2" w:rsidP="00C438F2">
      <w:pPr>
        <w:rPr>
          <w:rFonts w:ascii="Times New Roman" w:hAnsi="Times New Roman" w:cs="Times New Roman"/>
          <w:sz w:val="24"/>
          <w:szCs w:val="24"/>
        </w:rPr>
      </w:pPr>
      <w:r w:rsidRPr="00C438F2">
        <w:rPr>
          <w:rFonts w:ascii="Times New Roman" w:hAnsi="Times New Roman" w:cs="Times New Roman"/>
          <w:sz w:val="24"/>
          <w:szCs w:val="24"/>
        </w:rPr>
        <w:t xml:space="preserve">Juhtivpositsioonidel naiste osakaalu suurendamiseks on </w:t>
      </w:r>
      <w:r w:rsidRPr="00E96D9E">
        <w:rPr>
          <w:rFonts w:ascii="Times New Roman" w:hAnsi="Times New Roman" w:cs="Times New Roman"/>
          <w:i/>
          <w:sz w:val="24"/>
          <w:szCs w:val="24"/>
        </w:rPr>
        <w:t>suhteliselt radikaalse</w:t>
      </w:r>
      <w:r w:rsidRPr="00C438F2">
        <w:rPr>
          <w:rFonts w:ascii="Times New Roman" w:hAnsi="Times New Roman" w:cs="Times New Roman"/>
          <w:sz w:val="24"/>
          <w:szCs w:val="24"/>
        </w:rPr>
        <w:t xml:space="preserve"> meetmena kasutatud kvoote, mis määravad ära nõutava minimaalse naiste osakaalu ettevõtete või asutuste juhtkondades. </w:t>
      </w:r>
    </w:p>
    <w:p w:rsidR="00C438F2" w:rsidRPr="00C438F2" w:rsidRDefault="00C438F2" w:rsidP="00C438F2">
      <w:pPr>
        <w:rPr>
          <w:rFonts w:ascii="Times New Roman" w:hAnsi="Times New Roman" w:cs="Times New Roman"/>
          <w:sz w:val="24"/>
          <w:szCs w:val="24"/>
        </w:rPr>
      </w:pPr>
      <w:r w:rsidRPr="00C438F2">
        <w:rPr>
          <w:rFonts w:ascii="Times New Roman" w:hAnsi="Times New Roman" w:cs="Times New Roman"/>
          <w:sz w:val="24"/>
          <w:szCs w:val="24"/>
        </w:rPr>
        <w:t xml:space="preserve">Kui  nõuet  mittetäitvatele  ettevõtetele  rakendada  piisavalt  mõjuvaid  sanktsioone,  viib  kvoodi kehtestamine juhatustes naiste osakaalu kiire kasvuni. </w:t>
      </w:r>
    </w:p>
    <w:p w:rsidR="00C438F2" w:rsidRPr="00C438F2" w:rsidRDefault="00C438F2" w:rsidP="00C438F2">
      <w:pPr>
        <w:rPr>
          <w:rFonts w:ascii="Times New Roman" w:hAnsi="Times New Roman" w:cs="Times New Roman"/>
          <w:sz w:val="24"/>
          <w:szCs w:val="24"/>
        </w:rPr>
      </w:pPr>
      <w:r w:rsidRPr="00C438F2">
        <w:rPr>
          <w:rFonts w:ascii="Times New Roman" w:hAnsi="Times New Roman" w:cs="Times New Roman"/>
          <w:sz w:val="24"/>
          <w:szCs w:val="24"/>
        </w:rPr>
        <w:t>Euroopas on kvootide kehtestamist kaalutud ja rakendatud erinevates riikides. Esimesena kehtestas sookvoodid  ettevõtete  juhatustes  Norra.  Aastal  2006  jõustus  seadus,  mis  muutis  Norra börsiettevõtetele kohustuslikuks vähemalt 40-protsendil</w:t>
      </w:r>
      <w:r>
        <w:rPr>
          <w:rFonts w:ascii="Times New Roman" w:hAnsi="Times New Roman" w:cs="Times New Roman"/>
          <w:sz w:val="24"/>
          <w:szCs w:val="24"/>
        </w:rPr>
        <w:t xml:space="preserve">ise naiste osakaalu juhatustes. </w:t>
      </w:r>
      <w:r w:rsidRPr="00C438F2">
        <w:rPr>
          <w:rFonts w:ascii="Times New Roman" w:hAnsi="Times New Roman" w:cs="Times New Roman"/>
          <w:sz w:val="24"/>
          <w:szCs w:val="24"/>
        </w:rPr>
        <w:t>Sihttaseme saavutamiseks anti aega kaks aastat, aprilliks 2008 täi</w:t>
      </w:r>
      <w:r w:rsidR="00E96D9E">
        <w:rPr>
          <w:rFonts w:ascii="Times New Roman" w:hAnsi="Times New Roman" w:cs="Times New Roman"/>
          <w:sz w:val="24"/>
          <w:szCs w:val="24"/>
        </w:rPr>
        <w:t xml:space="preserve">tsid nõuet kõik börsiettevõtted. </w:t>
      </w:r>
      <w:r w:rsidRPr="00C438F2">
        <w:rPr>
          <w:rFonts w:ascii="Times New Roman" w:hAnsi="Times New Roman" w:cs="Times New Roman"/>
          <w:sz w:val="24"/>
          <w:szCs w:val="24"/>
        </w:rPr>
        <w:t>Erineval kujul on juhatuste sookvoodid  sisse viinud ka Hispaania (2007, avaliku sektori ettevõtetes ja 250  ja  enama  töötajaga  börsiettevõtetes  naiste  osakaal  vähemalt  40%),  Madalmaad  (2009,  30% juhatustes  ja  juhtiv</w:t>
      </w:r>
      <w:r>
        <w:rPr>
          <w:rFonts w:ascii="Times New Roman" w:hAnsi="Times New Roman" w:cs="Times New Roman"/>
          <w:sz w:val="24"/>
          <w:szCs w:val="24"/>
        </w:rPr>
        <w:t>-</w:t>
      </w:r>
      <w:r w:rsidRPr="00C438F2">
        <w:rPr>
          <w:rFonts w:ascii="Times New Roman" w:hAnsi="Times New Roman" w:cs="Times New Roman"/>
          <w:sz w:val="24"/>
          <w:szCs w:val="24"/>
        </w:rPr>
        <w:t xml:space="preserve">positsioonidel),  Prantsusmaa  (2010,  vähemalt  40%  suurtes  börsiettevõtetes)  ja Island (2010, vähemalt 40% 50 või enama töötajaga ettevõtetes). </w:t>
      </w:r>
    </w:p>
    <w:p w:rsidR="00C438F2" w:rsidRPr="00C438F2" w:rsidRDefault="00C438F2" w:rsidP="00C438F2">
      <w:pPr>
        <w:rPr>
          <w:rFonts w:ascii="Times New Roman" w:hAnsi="Times New Roman" w:cs="Times New Roman"/>
          <w:sz w:val="24"/>
          <w:szCs w:val="24"/>
        </w:rPr>
      </w:pPr>
      <w:r w:rsidRPr="00C438F2">
        <w:rPr>
          <w:rFonts w:ascii="Times New Roman" w:hAnsi="Times New Roman" w:cs="Times New Roman"/>
          <w:sz w:val="24"/>
          <w:szCs w:val="24"/>
        </w:rPr>
        <w:t xml:space="preserve">Nagu  ülalpool  öeldud,  on  kvootide  kui  meetme  peamiseks  eeliseks  efektiivsus  juhtivpositsioonidel naiste osakaalu tõstmiseks neis ettevõtetes, millele kvoot rakendub. Täiendava mõjuna võib naiste suurem  osakaal  juhtivpositsioonidel  panustada  muutustesse  ettevõtete  juhtimises  läbi  juhatuste koosseisu suurema mitmekesisuse juhtimisstiilide, väärtuste ja eelistuste kaudu. Samuti on arvatud, et  naiste  suurem  osakaal  juhtpositsioonidel  viib  ka  naiste  paremale  positsioonile  madalamatele ametikohtadele värbamisel. </w:t>
      </w:r>
    </w:p>
    <w:p w:rsidR="00C438F2" w:rsidRDefault="00C438F2" w:rsidP="00C438F2">
      <w:pPr>
        <w:rPr>
          <w:rFonts w:ascii="Times New Roman" w:hAnsi="Times New Roman" w:cs="Times New Roman"/>
          <w:sz w:val="24"/>
          <w:szCs w:val="24"/>
        </w:rPr>
      </w:pPr>
      <w:r w:rsidRPr="00C438F2">
        <w:rPr>
          <w:rFonts w:ascii="Times New Roman" w:hAnsi="Times New Roman" w:cs="Times New Roman"/>
          <w:sz w:val="24"/>
          <w:szCs w:val="24"/>
        </w:rPr>
        <w:t>Kvootide  rakendamist  raskendab  ettevõtete  vastuseis  nende  otsustusvabadusele  kehtestatavale piirangule:  on  oht,  et  ettevõtted  lihtsalt  ei  täida  nõudeid  ja  aktsepteerivad  pigem  kehtestatud</w:t>
      </w:r>
      <w:r>
        <w:rPr>
          <w:rFonts w:ascii="Times New Roman" w:hAnsi="Times New Roman" w:cs="Times New Roman"/>
          <w:sz w:val="24"/>
          <w:szCs w:val="24"/>
        </w:rPr>
        <w:t xml:space="preserve"> </w:t>
      </w:r>
      <w:r w:rsidRPr="00C438F2">
        <w:rPr>
          <w:rFonts w:ascii="Times New Roman" w:hAnsi="Times New Roman" w:cs="Times New Roman"/>
          <w:sz w:val="24"/>
          <w:szCs w:val="24"/>
        </w:rPr>
        <w:t xml:space="preserve">sanktsioone. Samuti on oht, et naiste staatus kvootidega kehtestatud ametikohtadel devalveerub ja naisi nähakse kui nõuete täitmiseks määratud, mitte sisulist panust andvate juhatuseliikmetena. Kui kvalifitseeritud  </w:t>
      </w:r>
      <w:proofErr w:type="spellStart"/>
      <w:r w:rsidRPr="00C438F2">
        <w:rPr>
          <w:rFonts w:ascii="Times New Roman" w:hAnsi="Times New Roman" w:cs="Times New Roman"/>
          <w:sz w:val="24"/>
          <w:szCs w:val="24"/>
        </w:rPr>
        <w:t>naistööjõu</w:t>
      </w:r>
      <w:proofErr w:type="spellEnd"/>
      <w:r w:rsidRPr="00C438F2">
        <w:rPr>
          <w:rFonts w:ascii="Times New Roman" w:hAnsi="Times New Roman" w:cs="Times New Roman"/>
          <w:sz w:val="24"/>
          <w:szCs w:val="24"/>
        </w:rPr>
        <w:t xml:space="preserve">  ebapiisava  pakkumise  tingimustes  määrataksegi  juhatustesse vähempädevad  inimesed,  võib  see  halvendada  ettevõtete  juhtimise  kvaliteeti  ja  ühtlasi  on  ka ebaõiglane pädevamate ning ametikohale </w:t>
      </w:r>
      <w:r w:rsidRPr="00C438F2">
        <w:rPr>
          <w:rFonts w:ascii="Times New Roman" w:hAnsi="Times New Roman" w:cs="Times New Roman"/>
          <w:sz w:val="24"/>
          <w:szCs w:val="24"/>
        </w:rPr>
        <w:lastRenderedPageBreak/>
        <w:t>rohkem sobivate meeste vastu. Seda  silmas  pidades  on  kvootide  kui  meetme  õnnestumiseks  oluline,  et  naissoost tippjuhikandidaatide  tööjõupakkumine  vastaks  kvootide  läbi  loodud  nõudlusele.  See  tähendab,  et kogu ühiskonna, hariduse ja tööturu institutsionaalne raamistik peab toetama naiste jõudmist tipp</w:t>
      </w:r>
      <w:r w:rsidR="00E96D9E">
        <w:rPr>
          <w:rFonts w:ascii="Times New Roman" w:hAnsi="Times New Roman" w:cs="Times New Roman"/>
          <w:sz w:val="24"/>
          <w:szCs w:val="24"/>
        </w:rPr>
        <w:t>-</w:t>
      </w:r>
      <w:r w:rsidRPr="00C438F2">
        <w:rPr>
          <w:rFonts w:ascii="Times New Roman" w:hAnsi="Times New Roman" w:cs="Times New Roman"/>
          <w:sz w:val="24"/>
          <w:szCs w:val="24"/>
        </w:rPr>
        <w:t>positsioonidele,  st  tagama,  et  vajaliku  ettevalmistusega  naisi  leiduks  piisavalt.  Ka  Norra  kogemus viitab  kvalifitseeritud  nais</w:t>
      </w:r>
      <w:r w:rsidR="00E96D9E">
        <w:rPr>
          <w:rFonts w:ascii="Times New Roman" w:hAnsi="Times New Roman" w:cs="Times New Roman"/>
          <w:sz w:val="24"/>
          <w:szCs w:val="24"/>
        </w:rPr>
        <w:t xml:space="preserve">soost </w:t>
      </w:r>
      <w:r w:rsidRPr="00C438F2">
        <w:rPr>
          <w:rFonts w:ascii="Times New Roman" w:hAnsi="Times New Roman" w:cs="Times New Roman"/>
          <w:sz w:val="24"/>
          <w:szCs w:val="24"/>
        </w:rPr>
        <w:t xml:space="preserve">juhtivtöötajate  piisava  pakkumise  olemasolu  olulisusele.  Kuna  sobivaid juhatuse  liikme  kandidaate  leidus  vähe,  tekkis  olukord,  kus  võrdlemisi  väike  arv  naisi  osales samaaegselt  </w:t>
      </w:r>
      <w:r w:rsidR="00E96D9E">
        <w:rPr>
          <w:rFonts w:ascii="Times New Roman" w:hAnsi="Times New Roman" w:cs="Times New Roman"/>
          <w:sz w:val="24"/>
          <w:szCs w:val="24"/>
        </w:rPr>
        <w:t>mitmete ettevõtete juhatuses</w:t>
      </w:r>
      <w:r w:rsidRPr="00C438F2">
        <w:rPr>
          <w:rFonts w:ascii="Times New Roman" w:hAnsi="Times New Roman" w:cs="Times New Roman"/>
          <w:sz w:val="24"/>
          <w:szCs w:val="24"/>
        </w:rPr>
        <w:t xml:space="preserve">. Selline olukord ei pruugi viia naiste  juhtivpositsioonidele  juurdepääsu  laialdasema  kasvuni.  Olukorra  parandamiseks  on  </w:t>
      </w:r>
      <w:r>
        <w:rPr>
          <w:rFonts w:ascii="Times New Roman" w:hAnsi="Times New Roman" w:cs="Times New Roman"/>
          <w:sz w:val="24"/>
          <w:szCs w:val="24"/>
        </w:rPr>
        <w:t xml:space="preserve">mõnes riigis </w:t>
      </w:r>
      <w:r w:rsidRPr="00C438F2">
        <w:rPr>
          <w:rFonts w:ascii="Times New Roman" w:hAnsi="Times New Roman" w:cs="Times New Roman"/>
          <w:sz w:val="24"/>
          <w:szCs w:val="24"/>
        </w:rPr>
        <w:t>hakatud välja  töötama  spetsiaalselt  naistele  suunatud  koolitusprogramme  juhtimisoskuste  arendamiseks</w:t>
      </w:r>
      <w:r>
        <w:rPr>
          <w:rFonts w:ascii="Times New Roman" w:hAnsi="Times New Roman" w:cs="Times New Roman"/>
          <w:sz w:val="24"/>
          <w:szCs w:val="24"/>
        </w:rPr>
        <w:t>.</w:t>
      </w:r>
    </w:p>
    <w:p w:rsidR="00C438F2" w:rsidRDefault="00691785" w:rsidP="00FE680A">
      <w:pPr>
        <w:rPr>
          <w:rFonts w:ascii="Times New Roman" w:hAnsi="Times New Roman" w:cs="Times New Roman"/>
          <w:sz w:val="24"/>
          <w:szCs w:val="24"/>
        </w:rPr>
      </w:pPr>
      <w:hyperlink r:id="rId10" w:history="1">
        <w:r w:rsidR="00C438F2" w:rsidRPr="00586A48">
          <w:rPr>
            <w:rStyle w:val="Hperlink"/>
            <w:rFonts w:ascii="Times New Roman" w:hAnsi="Times New Roman" w:cs="Times New Roman"/>
            <w:sz w:val="24"/>
            <w:szCs w:val="24"/>
          </w:rPr>
          <w:t>http://www.praxis.ee/fileadmin/tarmo/Projektid/Too-ja_Sotsiaalpoliitika/4_raport.pdf</w:t>
        </w:r>
      </w:hyperlink>
    </w:p>
    <w:p w:rsidR="00C438F2" w:rsidRPr="00C438F2" w:rsidRDefault="00E96D9E" w:rsidP="00C438F2">
      <w:pPr>
        <w:rPr>
          <w:rFonts w:ascii="Times New Roman" w:hAnsi="Times New Roman" w:cs="Times New Roman"/>
          <w:sz w:val="24"/>
          <w:szCs w:val="24"/>
        </w:rPr>
      </w:pPr>
      <w:proofErr w:type="spellStart"/>
      <w:r>
        <w:rPr>
          <w:rFonts w:ascii="Times New Roman" w:hAnsi="Times New Roman" w:cs="Times New Roman"/>
          <w:sz w:val="24"/>
          <w:szCs w:val="24"/>
        </w:rPr>
        <w:t>Praxise</w:t>
      </w:r>
      <w:proofErr w:type="spellEnd"/>
      <w:r>
        <w:rPr>
          <w:rFonts w:ascii="Times New Roman" w:hAnsi="Times New Roman" w:cs="Times New Roman"/>
          <w:sz w:val="24"/>
          <w:szCs w:val="24"/>
        </w:rPr>
        <w:t xml:space="preserve"> eelpool viidatud uuring küsib ka, k</w:t>
      </w:r>
      <w:r w:rsidR="00C438F2" w:rsidRPr="00C438F2">
        <w:rPr>
          <w:rFonts w:ascii="Times New Roman" w:hAnsi="Times New Roman" w:cs="Times New Roman"/>
          <w:sz w:val="24"/>
          <w:szCs w:val="24"/>
        </w:rPr>
        <w:t xml:space="preserve">as  kvoote  tuleks  rakendada  Eestis?  Mitmed  kaalutlused  räägivad  sellele  vastu.  Esiteks,  pidades eesmärgina silmas soolise palgalõhe vähendamist, on juhatuste sookvootide kui meetme mõju väike. </w:t>
      </w:r>
    </w:p>
    <w:p w:rsidR="00C438F2" w:rsidRDefault="00C438F2" w:rsidP="00C438F2">
      <w:pPr>
        <w:rPr>
          <w:rFonts w:ascii="Times New Roman" w:hAnsi="Times New Roman" w:cs="Times New Roman"/>
          <w:sz w:val="24"/>
          <w:szCs w:val="24"/>
        </w:rPr>
      </w:pPr>
      <w:r w:rsidRPr="00C438F2">
        <w:rPr>
          <w:rFonts w:ascii="Times New Roman" w:hAnsi="Times New Roman" w:cs="Times New Roman"/>
          <w:sz w:val="24"/>
          <w:szCs w:val="24"/>
        </w:rPr>
        <w:t xml:space="preserve">Meeste suur osakaal juhtide kategoorias on tingitud suures osas tippjuhtide kõrgest osakaalust, mida kvoot ei mõjutaks. Madalama taseme juhtide hulgas on naiste osakaal juba  praegu ca 40%. Teiseks, kvootide  kehtestamine  on  mõeldav  vaid  suurematele  ettevõtetele  (teistes  riikides  rakenduvad kvoodid  tüüpiliselt  börsiettevõtetele),  suure  osa  juhtivtöötajatest  aga  moodustavad  Eestis väikeettevõtete  juhid.  Nende  hulgas  naiste  osakaalu  suurendamiseks  on  vaja  muid  meetmeid  kui kvoodid, näiteks </w:t>
      </w:r>
      <w:proofErr w:type="spellStart"/>
      <w:r w:rsidRPr="00C438F2">
        <w:rPr>
          <w:rFonts w:ascii="Times New Roman" w:hAnsi="Times New Roman" w:cs="Times New Roman"/>
          <w:sz w:val="24"/>
          <w:szCs w:val="24"/>
        </w:rPr>
        <w:t>naisettevõtlust</w:t>
      </w:r>
      <w:proofErr w:type="spellEnd"/>
      <w:r w:rsidRPr="00C438F2">
        <w:rPr>
          <w:rFonts w:ascii="Times New Roman" w:hAnsi="Times New Roman" w:cs="Times New Roman"/>
          <w:sz w:val="24"/>
          <w:szCs w:val="24"/>
        </w:rPr>
        <w:t xml:space="preserve"> soodustavaid meetmeid. Kolmandaks tuleb arvestada, et ettevõtete otsustusõiguse piiramine tekitaks nende hulgas tõenäoliselt suurt vastuseisu.</w:t>
      </w:r>
    </w:p>
    <w:p w:rsidR="00E96D9E" w:rsidRDefault="00E96D9E" w:rsidP="00E96D9E">
      <w:pPr>
        <w:jc w:val="center"/>
        <w:rPr>
          <w:rFonts w:ascii="Times New Roman" w:hAnsi="Times New Roman" w:cs="Times New Roman"/>
          <w:sz w:val="24"/>
          <w:szCs w:val="24"/>
        </w:rPr>
      </w:pPr>
      <w:r>
        <w:rPr>
          <w:rFonts w:ascii="Times New Roman" w:hAnsi="Times New Roman" w:cs="Times New Roman"/>
          <w:sz w:val="24"/>
          <w:szCs w:val="24"/>
        </w:rPr>
        <w:t>***</w:t>
      </w:r>
    </w:p>
    <w:p w:rsidR="006B64EB" w:rsidRDefault="006B64EB" w:rsidP="00FE680A">
      <w:pPr>
        <w:rPr>
          <w:rFonts w:ascii="Times New Roman" w:hAnsi="Times New Roman" w:cs="Times New Roman"/>
          <w:sz w:val="24"/>
          <w:szCs w:val="24"/>
        </w:rPr>
      </w:pPr>
      <w:r>
        <w:rPr>
          <w:rFonts w:ascii="Times New Roman" w:hAnsi="Times New Roman" w:cs="Times New Roman"/>
          <w:sz w:val="24"/>
          <w:szCs w:val="24"/>
        </w:rPr>
        <w:t xml:space="preserve">Kuna naiste </w:t>
      </w:r>
      <w:r w:rsidR="00E96D9E">
        <w:rPr>
          <w:rFonts w:ascii="Times New Roman" w:hAnsi="Times New Roman" w:cs="Times New Roman"/>
          <w:sz w:val="24"/>
          <w:szCs w:val="24"/>
        </w:rPr>
        <w:t xml:space="preserve">laialdasem ja ehk ka </w:t>
      </w:r>
      <w:r>
        <w:rPr>
          <w:rFonts w:ascii="Times New Roman" w:hAnsi="Times New Roman" w:cs="Times New Roman"/>
          <w:sz w:val="24"/>
          <w:szCs w:val="24"/>
        </w:rPr>
        <w:t xml:space="preserve">efektiivsem kaasamine ettevõtlusse on Euroopa riikides </w:t>
      </w:r>
      <w:r w:rsidR="001367A5">
        <w:rPr>
          <w:rFonts w:ascii="Times New Roman" w:hAnsi="Times New Roman" w:cs="Times New Roman"/>
          <w:sz w:val="24"/>
          <w:szCs w:val="24"/>
        </w:rPr>
        <w:t>kättesaadav</w:t>
      </w:r>
      <w:r w:rsidR="00C438F2">
        <w:rPr>
          <w:rFonts w:ascii="Times New Roman" w:hAnsi="Times New Roman" w:cs="Times New Roman"/>
          <w:sz w:val="24"/>
          <w:szCs w:val="24"/>
        </w:rPr>
        <w:t>a</w:t>
      </w:r>
      <w:r w:rsidR="001367A5">
        <w:rPr>
          <w:rFonts w:ascii="Times New Roman" w:hAnsi="Times New Roman" w:cs="Times New Roman"/>
          <w:sz w:val="24"/>
          <w:szCs w:val="24"/>
        </w:rPr>
        <w:t xml:space="preserve">te materjalide alusel otsustades </w:t>
      </w:r>
      <w:r w:rsidR="00E96D9E">
        <w:rPr>
          <w:rFonts w:ascii="Times New Roman" w:hAnsi="Times New Roman" w:cs="Times New Roman"/>
          <w:sz w:val="24"/>
          <w:szCs w:val="24"/>
        </w:rPr>
        <w:t>siiski eeskätt</w:t>
      </w:r>
      <w:r w:rsidR="00C438F2">
        <w:rPr>
          <w:rFonts w:ascii="Times New Roman" w:hAnsi="Times New Roman" w:cs="Times New Roman"/>
          <w:sz w:val="24"/>
          <w:szCs w:val="24"/>
        </w:rPr>
        <w:t xml:space="preserve"> </w:t>
      </w:r>
      <w:r>
        <w:rPr>
          <w:rFonts w:ascii="Times New Roman" w:hAnsi="Times New Roman" w:cs="Times New Roman"/>
          <w:sz w:val="24"/>
          <w:szCs w:val="24"/>
        </w:rPr>
        <w:t xml:space="preserve">seotud </w:t>
      </w:r>
      <w:r w:rsidR="00E96D9E">
        <w:rPr>
          <w:rFonts w:ascii="Times New Roman" w:hAnsi="Times New Roman" w:cs="Times New Roman"/>
          <w:sz w:val="24"/>
          <w:szCs w:val="24"/>
        </w:rPr>
        <w:t xml:space="preserve">mitte niivõrd kvootide, kui pigem </w:t>
      </w:r>
      <w:r w:rsidR="00C438F2">
        <w:rPr>
          <w:rFonts w:ascii="Times New Roman" w:hAnsi="Times New Roman" w:cs="Times New Roman"/>
          <w:sz w:val="24"/>
          <w:szCs w:val="24"/>
        </w:rPr>
        <w:t xml:space="preserve">nn. </w:t>
      </w:r>
      <w:r w:rsidR="001367A5">
        <w:rPr>
          <w:rFonts w:ascii="Times New Roman" w:hAnsi="Times New Roman" w:cs="Times New Roman"/>
          <w:sz w:val="24"/>
          <w:szCs w:val="24"/>
        </w:rPr>
        <w:t xml:space="preserve">soolise </w:t>
      </w:r>
      <w:r>
        <w:rPr>
          <w:rFonts w:ascii="Times New Roman" w:hAnsi="Times New Roman" w:cs="Times New Roman"/>
          <w:sz w:val="24"/>
          <w:szCs w:val="24"/>
        </w:rPr>
        <w:t>palgalõhe probleemistikuga, on allpool toodud väike ülevaate peamistest näitajatest selles valdkonnas.</w:t>
      </w:r>
    </w:p>
    <w:p w:rsidR="006B64EB" w:rsidRDefault="006B64EB" w:rsidP="00FE680A">
      <w:pPr>
        <w:rPr>
          <w:rFonts w:ascii="Times New Roman" w:hAnsi="Times New Roman" w:cs="Times New Roman"/>
          <w:sz w:val="24"/>
          <w:szCs w:val="24"/>
        </w:rPr>
      </w:pPr>
    </w:p>
    <w:p w:rsidR="00FE680A" w:rsidRPr="00FE680A" w:rsidRDefault="00EE38B6" w:rsidP="00FE680A">
      <w:pPr>
        <w:rPr>
          <w:rFonts w:ascii="Times New Roman" w:hAnsi="Times New Roman" w:cs="Times New Roman"/>
          <w:sz w:val="24"/>
          <w:szCs w:val="24"/>
        </w:rPr>
      </w:pPr>
      <w:r>
        <w:rPr>
          <w:rFonts w:ascii="Times New Roman" w:hAnsi="Times New Roman" w:cs="Times New Roman"/>
          <w:sz w:val="24"/>
          <w:szCs w:val="24"/>
        </w:rPr>
        <w:t>Üldine ülevaade j</w:t>
      </w:r>
      <w:r w:rsidR="00FE680A" w:rsidRPr="00FE680A">
        <w:rPr>
          <w:rFonts w:ascii="Times New Roman" w:hAnsi="Times New Roman" w:cs="Times New Roman"/>
          <w:sz w:val="24"/>
          <w:szCs w:val="24"/>
        </w:rPr>
        <w:t>a kasutatud andmed</w:t>
      </w:r>
    </w:p>
    <w:p w:rsidR="00EE38B6" w:rsidRPr="00EE38B6" w:rsidRDefault="00EE38B6" w:rsidP="00FE680A">
      <w:pPr>
        <w:rPr>
          <w:rFonts w:ascii="Times New Roman" w:hAnsi="Times New Roman" w:cs="Times New Roman"/>
          <w:i/>
          <w:sz w:val="24"/>
          <w:szCs w:val="24"/>
        </w:rPr>
      </w:pPr>
      <w:r w:rsidRPr="00EE38B6">
        <w:rPr>
          <w:rStyle w:val="Rhutus"/>
          <w:rFonts w:ascii="Times New Roman" w:hAnsi="Times New Roman" w:cs="Times New Roman"/>
          <w:i w:val="0"/>
          <w:sz w:val="24"/>
          <w:szCs w:val="24"/>
        </w:rPr>
        <w:t xml:space="preserve">Soolise palgalõhe abil saab jälgida, kuidas on aja jooksul nais- ja meespalgatöötajate brutotunnitasud muutunud. Soolise palgalõhe suurenemise põhjus on sageli see, et meespalgatöötajate brutotunnitasu on tõusnud enam kui </w:t>
      </w:r>
      <w:proofErr w:type="spellStart"/>
      <w:r w:rsidRPr="00EE38B6">
        <w:rPr>
          <w:rStyle w:val="Rhutus"/>
          <w:rFonts w:ascii="Times New Roman" w:hAnsi="Times New Roman" w:cs="Times New Roman"/>
          <w:i w:val="0"/>
          <w:sz w:val="24"/>
          <w:szCs w:val="24"/>
        </w:rPr>
        <w:t>naistöötajatel</w:t>
      </w:r>
      <w:proofErr w:type="spellEnd"/>
      <w:r w:rsidRPr="00EE38B6">
        <w:rPr>
          <w:rStyle w:val="Rhutus"/>
          <w:rFonts w:ascii="Times New Roman" w:hAnsi="Times New Roman" w:cs="Times New Roman"/>
          <w:i w:val="0"/>
          <w:sz w:val="24"/>
          <w:szCs w:val="24"/>
        </w:rPr>
        <w:t>. Harvad on juhtumid kui mõne tegevusala või maakonna nais- ja meespalgatöötajate brutotunnitasud on praktiliselt võrdsed. Väga hea näide oli 2013. aastal, kui veonduse ja laonduse tegevusala nais- ja meespalgatöötajate brutotunnitasu oli praktiliselt võrdne.</w:t>
      </w:r>
    </w:p>
    <w:p w:rsidR="00FE680A" w:rsidRDefault="00FE680A" w:rsidP="00FE680A">
      <w:pPr>
        <w:rPr>
          <w:rFonts w:ascii="Times New Roman" w:hAnsi="Times New Roman" w:cs="Times New Roman"/>
          <w:sz w:val="24"/>
          <w:szCs w:val="24"/>
        </w:rPr>
      </w:pPr>
      <w:r w:rsidRPr="00FE680A">
        <w:rPr>
          <w:rFonts w:ascii="Times New Roman" w:hAnsi="Times New Roman" w:cs="Times New Roman"/>
          <w:sz w:val="24"/>
          <w:szCs w:val="24"/>
        </w:rPr>
        <w:t xml:space="preserve">Statistikaameti ja </w:t>
      </w:r>
      <w:proofErr w:type="spellStart"/>
      <w:r w:rsidRPr="00FE680A">
        <w:rPr>
          <w:rFonts w:ascii="Times New Roman" w:hAnsi="Times New Roman" w:cs="Times New Roman"/>
          <w:sz w:val="24"/>
          <w:szCs w:val="24"/>
        </w:rPr>
        <w:t>Eurostati</w:t>
      </w:r>
      <w:proofErr w:type="spellEnd"/>
      <w:r w:rsidRPr="00FE680A">
        <w:rPr>
          <w:rFonts w:ascii="Times New Roman" w:hAnsi="Times New Roman" w:cs="Times New Roman"/>
          <w:sz w:val="24"/>
          <w:szCs w:val="24"/>
        </w:rPr>
        <w:t xml:space="preserve"> soolise palgalõhe arvutamise metoodika </w:t>
      </w:r>
      <w:r>
        <w:rPr>
          <w:rFonts w:ascii="Times New Roman" w:hAnsi="Times New Roman" w:cs="Times New Roman"/>
          <w:sz w:val="24"/>
          <w:szCs w:val="24"/>
        </w:rPr>
        <w:t xml:space="preserve">mõnevõrra </w:t>
      </w:r>
      <w:r w:rsidRPr="00FE680A">
        <w:rPr>
          <w:rFonts w:ascii="Times New Roman" w:hAnsi="Times New Roman" w:cs="Times New Roman"/>
          <w:sz w:val="24"/>
          <w:szCs w:val="24"/>
        </w:rPr>
        <w:t xml:space="preserve">erineb. </w:t>
      </w:r>
      <w:proofErr w:type="spellStart"/>
      <w:r w:rsidRPr="00FE680A">
        <w:rPr>
          <w:rFonts w:ascii="Times New Roman" w:hAnsi="Times New Roman" w:cs="Times New Roman"/>
          <w:sz w:val="24"/>
          <w:szCs w:val="24"/>
        </w:rPr>
        <w:t>Eurostati</w:t>
      </w:r>
      <w:proofErr w:type="spellEnd"/>
      <w:r w:rsidRPr="00FE680A">
        <w:rPr>
          <w:rFonts w:ascii="Times New Roman" w:hAnsi="Times New Roman" w:cs="Times New Roman"/>
          <w:sz w:val="24"/>
          <w:szCs w:val="24"/>
        </w:rPr>
        <w:t xml:space="preserve"> avaldatud meeste ja naiste palgalõhes ei ole arvestatud alla 10 töötajaga ettevõtete ja asutuste näitajaid, samuti põllumajanduse, metsamajanduse ja kalapüügi ning avaliku halduse ja riigikaitse tegevusalade palgatöötajate töötasusid. Sellise </w:t>
      </w:r>
      <w:proofErr w:type="spellStart"/>
      <w:r>
        <w:rPr>
          <w:rFonts w:ascii="Times New Roman" w:hAnsi="Times New Roman" w:cs="Times New Roman"/>
          <w:sz w:val="24"/>
          <w:szCs w:val="24"/>
        </w:rPr>
        <w:t>Eurostati</w:t>
      </w:r>
      <w:proofErr w:type="spellEnd"/>
      <w:r>
        <w:rPr>
          <w:rFonts w:ascii="Times New Roman" w:hAnsi="Times New Roman" w:cs="Times New Roman"/>
          <w:sz w:val="24"/>
          <w:szCs w:val="24"/>
        </w:rPr>
        <w:t xml:space="preserve"> poolt kasutatava </w:t>
      </w:r>
      <w:r w:rsidRPr="00FE680A">
        <w:rPr>
          <w:rFonts w:ascii="Times New Roman" w:hAnsi="Times New Roman" w:cs="Times New Roman"/>
          <w:sz w:val="24"/>
          <w:szCs w:val="24"/>
        </w:rPr>
        <w:t xml:space="preserve">arvestuse järgi on Eesti sooline palgalõhe üks Euroopa Liidu suurimaid (2012. aastal </w:t>
      </w:r>
      <w:r>
        <w:rPr>
          <w:rFonts w:ascii="Times New Roman" w:hAnsi="Times New Roman" w:cs="Times New Roman"/>
          <w:sz w:val="24"/>
          <w:szCs w:val="24"/>
        </w:rPr>
        <w:t xml:space="preserve">ca </w:t>
      </w:r>
      <w:r w:rsidRPr="00FE680A">
        <w:rPr>
          <w:rFonts w:ascii="Times New Roman" w:hAnsi="Times New Roman" w:cs="Times New Roman"/>
          <w:sz w:val="24"/>
          <w:szCs w:val="24"/>
        </w:rPr>
        <w:t xml:space="preserve">30%). </w:t>
      </w:r>
      <w:r w:rsidRPr="00FE680A">
        <w:rPr>
          <w:rFonts w:ascii="Times New Roman" w:hAnsi="Times New Roman" w:cs="Times New Roman"/>
          <w:sz w:val="24"/>
          <w:szCs w:val="24"/>
        </w:rPr>
        <w:lastRenderedPageBreak/>
        <w:t>Statistikaameti arvutatud sooline palgalõhe, kus on arvesse võetud kõik ettevõtted ja asutused ning kõik tegevusalad, oli Eestis 2012. aastal 24,6%.</w:t>
      </w:r>
    </w:p>
    <w:p w:rsidR="00FE680A" w:rsidRDefault="00FE680A" w:rsidP="00FE680A">
      <w:pPr>
        <w:rPr>
          <w:rFonts w:ascii="Times New Roman" w:hAnsi="Times New Roman" w:cs="Times New Roman"/>
          <w:sz w:val="24"/>
          <w:szCs w:val="24"/>
        </w:rPr>
      </w:pPr>
      <w:r>
        <w:rPr>
          <w:rFonts w:ascii="Times New Roman" w:hAnsi="Times New Roman" w:cs="Times New Roman"/>
          <w:sz w:val="24"/>
          <w:szCs w:val="24"/>
        </w:rPr>
        <w:t xml:space="preserve">Statistikaameti poolt kasutatavat metoodikat aluseks võttes sooline palgalõhe </w:t>
      </w:r>
      <w:proofErr w:type="spellStart"/>
      <w:r>
        <w:rPr>
          <w:rFonts w:ascii="Times New Roman" w:hAnsi="Times New Roman" w:cs="Times New Roman"/>
          <w:sz w:val="24"/>
          <w:szCs w:val="24"/>
        </w:rPr>
        <w:t>üldnäitaja</w:t>
      </w:r>
      <w:proofErr w:type="spellEnd"/>
      <w:r>
        <w:rPr>
          <w:rFonts w:ascii="Times New Roman" w:hAnsi="Times New Roman" w:cs="Times New Roman"/>
          <w:sz w:val="24"/>
          <w:szCs w:val="24"/>
        </w:rPr>
        <w:t xml:space="preserve"> muutunud viimasel 20 aastal järgmiselt</w:t>
      </w:r>
      <w:r w:rsidR="00E96D9E">
        <w:rPr>
          <w:rFonts w:ascii="Times New Roman" w:hAnsi="Times New Roman" w:cs="Times New Roman"/>
          <w:sz w:val="24"/>
          <w:szCs w:val="24"/>
        </w:rPr>
        <w:t xml:space="preserve"> (Joonis nr 1) </w:t>
      </w:r>
      <w:r>
        <w:rPr>
          <w:rFonts w:ascii="Times New Roman" w:hAnsi="Times New Roman" w:cs="Times New Roman"/>
          <w:sz w:val="24"/>
          <w:szCs w:val="24"/>
        </w:rPr>
        <w:t>:</w:t>
      </w:r>
    </w:p>
    <w:p w:rsidR="00FE680A" w:rsidRPr="00FE680A" w:rsidRDefault="00FE680A" w:rsidP="00FE680A">
      <w:pPr>
        <w:rPr>
          <w:rFonts w:ascii="Times New Roman" w:hAnsi="Times New Roman" w:cs="Times New Roman"/>
          <w:sz w:val="24"/>
          <w:szCs w:val="24"/>
        </w:rPr>
      </w:pPr>
      <w:r>
        <w:rPr>
          <w:noProof/>
          <w:color w:val="0C4962"/>
          <w:lang w:eastAsia="et-EE"/>
        </w:rPr>
        <w:drawing>
          <wp:inline distT="0" distB="0" distL="0" distR="0">
            <wp:extent cx="4762500" cy="2565400"/>
            <wp:effectExtent l="0" t="0" r="0" b="6350"/>
            <wp:docPr id="1" name="Pilt 1" descr="http://statistikaamet.files.wordpress.com/2014/04/011.png?w=1500&amp;h=89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stikaamet.files.wordpress.com/2014/04/011.png?w=1500&amp;h=89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65400"/>
                    </a:xfrm>
                    <a:prstGeom prst="rect">
                      <a:avLst/>
                    </a:prstGeom>
                    <a:noFill/>
                    <a:ln>
                      <a:noFill/>
                    </a:ln>
                  </pic:spPr>
                </pic:pic>
              </a:graphicData>
            </a:graphic>
          </wp:inline>
        </w:drawing>
      </w:r>
    </w:p>
    <w:p w:rsidR="00FE680A" w:rsidRPr="00FE680A" w:rsidRDefault="00FE680A" w:rsidP="00FE680A">
      <w:pPr>
        <w:rPr>
          <w:rFonts w:ascii="Times New Roman" w:hAnsi="Times New Roman" w:cs="Times New Roman"/>
          <w:i/>
          <w:sz w:val="18"/>
          <w:szCs w:val="18"/>
        </w:rPr>
      </w:pPr>
      <w:r w:rsidRPr="00FE680A">
        <w:rPr>
          <w:rFonts w:ascii="Times New Roman" w:hAnsi="Times New Roman" w:cs="Times New Roman"/>
          <w:i/>
          <w:sz w:val="18"/>
          <w:szCs w:val="18"/>
        </w:rPr>
        <w:t xml:space="preserve">Allikas: </w:t>
      </w:r>
      <w:hyperlink r:id="rId13" w:history="1">
        <w:r w:rsidRPr="00FE680A">
          <w:rPr>
            <w:rStyle w:val="Hperlink"/>
            <w:rFonts w:ascii="Times New Roman" w:hAnsi="Times New Roman" w:cs="Times New Roman"/>
            <w:i/>
            <w:sz w:val="18"/>
            <w:szCs w:val="18"/>
          </w:rPr>
          <w:t>http://statistikaamet.wordpress.com/2014/04/28/sooline-palgalohe-maakondades-ja-omaniku-liigiti-2013-aastal/</w:t>
        </w:r>
      </w:hyperlink>
    </w:p>
    <w:p w:rsidR="00FE680A" w:rsidRDefault="00FE680A" w:rsidP="00FE680A">
      <w:pPr>
        <w:rPr>
          <w:rFonts w:ascii="Times New Roman" w:hAnsi="Times New Roman" w:cs="Times New Roman"/>
          <w:sz w:val="24"/>
          <w:szCs w:val="24"/>
        </w:rPr>
      </w:pPr>
      <w:r>
        <w:rPr>
          <w:rFonts w:ascii="Times New Roman" w:hAnsi="Times New Roman" w:cs="Times New Roman"/>
          <w:sz w:val="24"/>
          <w:szCs w:val="24"/>
        </w:rPr>
        <w:t>Olukorrast soolise palgalõhe üldiste andmete alusel Eesti maakondade lõikes annavad pildi viimase paar aasta kohta kogutud andmed</w:t>
      </w:r>
      <w:r w:rsidR="00EE38B6">
        <w:rPr>
          <w:rFonts w:ascii="Times New Roman" w:hAnsi="Times New Roman" w:cs="Times New Roman"/>
          <w:sz w:val="24"/>
          <w:szCs w:val="24"/>
        </w:rPr>
        <w:t>, millest nähtub, et erisused maakondade vahel on mõnel aastal kahe- kuni kolmekordsed</w:t>
      </w:r>
      <w:r>
        <w:rPr>
          <w:rFonts w:ascii="Times New Roman" w:hAnsi="Times New Roman" w:cs="Times New Roman"/>
          <w:sz w:val="24"/>
          <w:szCs w:val="24"/>
        </w:rPr>
        <w:t>:</w:t>
      </w:r>
    </w:p>
    <w:p w:rsidR="00FE680A" w:rsidRDefault="00E96D9E" w:rsidP="00FE680A">
      <w:pPr>
        <w:rPr>
          <w:rFonts w:ascii="Times New Roman" w:hAnsi="Times New Roman" w:cs="Times New Roman"/>
          <w:sz w:val="24"/>
          <w:szCs w:val="24"/>
        </w:rPr>
      </w:pPr>
      <w:r>
        <w:rPr>
          <w:rFonts w:ascii="Times New Roman" w:hAnsi="Times New Roman" w:cs="Times New Roman"/>
          <w:sz w:val="24"/>
          <w:szCs w:val="24"/>
        </w:rPr>
        <w:t>Tabel nr 1</w:t>
      </w:r>
    </w:p>
    <w:p w:rsidR="00FE680A" w:rsidRDefault="00FE680A">
      <w:pPr>
        <w:rPr>
          <w:rFonts w:ascii="Times New Roman" w:hAnsi="Times New Roman" w:cs="Times New Roman"/>
          <w:sz w:val="24"/>
          <w:szCs w:val="24"/>
        </w:rPr>
      </w:pPr>
      <w:r>
        <w:rPr>
          <w:noProof/>
          <w:color w:val="0C4962"/>
          <w:lang w:eastAsia="et-EE"/>
        </w:rPr>
        <w:drawing>
          <wp:inline distT="0" distB="0" distL="0" distR="0">
            <wp:extent cx="4762500" cy="3822700"/>
            <wp:effectExtent l="0" t="0" r="0" b="0"/>
            <wp:docPr id="2" name="Pilt 2" descr="http://statistikaamet.files.wordpress.com/2014/04/tabel.png?w=1500&amp;h=149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stikaamet.files.wordpress.com/2014/04/tabel.png?w=1500&amp;h=149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822700"/>
                    </a:xfrm>
                    <a:prstGeom prst="rect">
                      <a:avLst/>
                    </a:prstGeom>
                    <a:noFill/>
                    <a:ln>
                      <a:noFill/>
                    </a:ln>
                  </pic:spPr>
                </pic:pic>
              </a:graphicData>
            </a:graphic>
          </wp:inline>
        </w:drawing>
      </w:r>
    </w:p>
    <w:p w:rsidR="00FE680A" w:rsidRPr="00FE680A" w:rsidRDefault="00FE680A">
      <w:pPr>
        <w:rPr>
          <w:rFonts w:ascii="Times New Roman" w:hAnsi="Times New Roman" w:cs="Times New Roman"/>
          <w:i/>
          <w:sz w:val="18"/>
          <w:szCs w:val="18"/>
        </w:rPr>
      </w:pPr>
      <w:r w:rsidRPr="00FE680A">
        <w:rPr>
          <w:rFonts w:ascii="Times New Roman" w:hAnsi="Times New Roman" w:cs="Times New Roman"/>
          <w:i/>
          <w:sz w:val="18"/>
          <w:szCs w:val="18"/>
        </w:rPr>
        <w:lastRenderedPageBreak/>
        <w:t xml:space="preserve">Allikas: </w:t>
      </w:r>
      <w:hyperlink r:id="rId16" w:history="1">
        <w:r w:rsidRPr="00FE680A">
          <w:rPr>
            <w:rStyle w:val="Hperlink"/>
            <w:rFonts w:ascii="Times New Roman" w:hAnsi="Times New Roman" w:cs="Times New Roman"/>
            <w:i/>
            <w:sz w:val="18"/>
            <w:szCs w:val="18"/>
          </w:rPr>
          <w:t>http://statistikaamet.wordpress.com/2014/04/28/sooline-palgalohe-maakondades-ja-omaniku-liigiti-2013-aastal/</w:t>
        </w:r>
      </w:hyperlink>
    </w:p>
    <w:p w:rsidR="00FE680A" w:rsidRDefault="00EE38B6">
      <w:pPr>
        <w:rPr>
          <w:rFonts w:ascii="Times New Roman" w:hAnsi="Times New Roman" w:cs="Times New Roman"/>
          <w:sz w:val="24"/>
          <w:szCs w:val="24"/>
        </w:rPr>
      </w:pPr>
      <w:proofErr w:type="spellStart"/>
      <w:r w:rsidRPr="00EE38B6">
        <w:rPr>
          <w:rFonts w:ascii="Times New Roman" w:hAnsi="Times New Roman" w:cs="Times New Roman"/>
          <w:sz w:val="24"/>
          <w:szCs w:val="24"/>
        </w:rPr>
        <w:t>Naispalgatöötajate</w:t>
      </w:r>
      <w:proofErr w:type="spellEnd"/>
      <w:r w:rsidRPr="00EE38B6">
        <w:rPr>
          <w:rFonts w:ascii="Times New Roman" w:hAnsi="Times New Roman" w:cs="Times New Roman"/>
          <w:sz w:val="24"/>
          <w:szCs w:val="24"/>
        </w:rPr>
        <w:t xml:space="preserve"> brutotunnitasu oli ilma ebaregulaarsete preemiate ja lisatasudeta </w:t>
      </w:r>
      <w:r>
        <w:rPr>
          <w:rFonts w:ascii="Times New Roman" w:hAnsi="Times New Roman" w:cs="Times New Roman"/>
          <w:sz w:val="24"/>
          <w:szCs w:val="24"/>
        </w:rPr>
        <w:t xml:space="preserve">Eesti statistikaameti metoodika kohaselt </w:t>
      </w:r>
      <w:r w:rsidRPr="00EE38B6">
        <w:rPr>
          <w:rFonts w:ascii="Times New Roman" w:hAnsi="Times New Roman" w:cs="Times New Roman"/>
          <w:sz w:val="24"/>
          <w:szCs w:val="24"/>
        </w:rPr>
        <w:t xml:space="preserve">4,58 eurot ning meespalgatöötajatel 6,09 eurot. Aastaga tõusis </w:t>
      </w:r>
      <w:proofErr w:type="spellStart"/>
      <w:r w:rsidRPr="00EE38B6">
        <w:rPr>
          <w:rFonts w:ascii="Times New Roman" w:hAnsi="Times New Roman" w:cs="Times New Roman"/>
          <w:sz w:val="24"/>
          <w:szCs w:val="24"/>
        </w:rPr>
        <w:t>naispalgatöötajate</w:t>
      </w:r>
      <w:proofErr w:type="spellEnd"/>
      <w:r w:rsidRPr="00EE38B6">
        <w:rPr>
          <w:rFonts w:ascii="Times New Roman" w:hAnsi="Times New Roman" w:cs="Times New Roman"/>
          <w:sz w:val="24"/>
          <w:szCs w:val="24"/>
        </w:rPr>
        <w:t xml:space="preserve"> tunnitasu 7,0% ja meespalgatöötajate tunnitasu 7,2%, mis oli ka palgalõhe minimaalse suurenemise üks põhjus</w:t>
      </w:r>
      <w:r>
        <w:rPr>
          <w:rFonts w:ascii="Times New Roman" w:hAnsi="Times New Roman" w:cs="Times New Roman"/>
          <w:sz w:val="24"/>
          <w:szCs w:val="24"/>
        </w:rPr>
        <w:t xml:space="preserve"> ajavahemikul 2012-13</w:t>
      </w:r>
      <w:r w:rsidRPr="00EE38B6">
        <w:rPr>
          <w:rFonts w:ascii="Times New Roman" w:hAnsi="Times New Roman" w:cs="Times New Roman"/>
          <w:sz w:val="24"/>
          <w:szCs w:val="24"/>
        </w:rPr>
        <w:t>. Kõige suurem sooline palgalõhe oli Eestis 1994. aastal, mil see oli 28,9%</w:t>
      </w:r>
      <w:r>
        <w:rPr>
          <w:rFonts w:ascii="Times New Roman" w:hAnsi="Times New Roman" w:cs="Times New Roman"/>
          <w:sz w:val="24"/>
          <w:szCs w:val="24"/>
        </w:rPr>
        <w:t>.</w:t>
      </w:r>
    </w:p>
    <w:p w:rsidR="00EE38B6" w:rsidRDefault="00EE38B6" w:rsidP="00EE38B6">
      <w:pPr>
        <w:pStyle w:val="Normaallaadveeb"/>
      </w:pPr>
      <w:r>
        <w:rPr>
          <w:rStyle w:val="Tugev"/>
        </w:rPr>
        <w:t>Sooline palgalõhe omaniku liigiti</w:t>
      </w:r>
    </w:p>
    <w:p w:rsidR="00EE38B6" w:rsidRDefault="00EE38B6" w:rsidP="00EE38B6">
      <w:pPr>
        <w:pStyle w:val="Normaallaadveeb"/>
      </w:pPr>
      <w:r>
        <w:t>2013. aastal kõikus sooline palgalõhe omaniku liigiti 17,2%-st kuni 34,0%-</w:t>
      </w:r>
      <w:proofErr w:type="spellStart"/>
      <w:r>
        <w:t>ni</w:t>
      </w:r>
      <w:proofErr w:type="spellEnd"/>
      <w:r>
        <w:t>.</w:t>
      </w:r>
    </w:p>
    <w:p w:rsidR="00EE38B6" w:rsidRDefault="00EE38B6" w:rsidP="00EE38B6">
      <w:pPr>
        <w:pStyle w:val="Normaallaadveeb"/>
      </w:pPr>
      <w:r>
        <w:t xml:space="preserve">2013. aastal oli omaniku liigiti kõige väiksem sooline palgalõhe kohalike omavalitsuste omandis olevates äriühingutes, organisatsioonides ja asutustes (17,2%). Võrreldes 2012. aastaga suurenes palgalõhe 0,4 protsendipunkti. Nendes üksustes </w:t>
      </w:r>
      <w:proofErr w:type="spellStart"/>
      <w:r>
        <w:t>naispalgatöötajate</w:t>
      </w:r>
      <w:proofErr w:type="spellEnd"/>
      <w:r>
        <w:t xml:space="preserve"> arv pisut suurenes ning meestöötajate arv vähenes. Samal ajal </w:t>
      </w:r>
      <w:proofErr w:type="spellStart"/>
      <w:r>
        <w:t>naispalgatöötajate</w:t>
      </w:r>
      <w:proofErr w:type="spellEnd"/>
      <w:r>
        <w:t xml:space="preserve"> tunnitasu tõusis 8,7% ja meestel 9,2%, see tingis ka palgalõhe suurenemise.</w:t>
      </w:r>
    </w:p>
    <w:p w:rsidR="00EE38B6" w:rsidRDefault="00EE38B6" w:rsidP="00EE38B6">
      <w:pPr>
        <w:pStyle w:val="Normaallaadveeb"/>
      </w:pPr>
      <w:r>
        <w:t xml:space="preserve">Kõige suurem palgalõhe oli välismaa omandis olevates äriühingutes (34,0%). Võrreldes 2012. aastaga suurenes ka palgalõhe nendes üksustes kõige enam ehk 2,0 protsendipunkti. Välismaa äriühingutes </w:t>
      </w:r>
      <w:proofErr w:type="spellStart"/>
      <w:r>
        <w:t>naispalgatöötajate</w:t>
      </w:r>
      <w:proofErr w:type="spellEnd"/>
      <w:r>
        <w:t xml:space="preserve"> arv vähenes 3,0% ning meespalgatöötajate arv suurenes 3,1%. Samal ajal tõusis naiste tunnitasu 5,6% ja meestel 8,9%, see tingis ka palgalõhe suurenemise.</w:t>
      </w:r>
    </w:p>
    <w:p w:rsidR="00EE38B6" w:rsidRDefault="00EE38B6">
      <w:pPr>
        <w:rPr>
          <w:rFonts w:ascii="Times New Roman" w:hAnsi="Times New Roman" w:cs="Times New Roman"/>
          <w:sz w:val="24"/>
          <w:szCs w:val="24"/>
        </w:rPr>
      </w:pPr>
      <w:r>
        <w:rPr>
          <w:rFonts w:ascii="Times New Roman" w:hAnsi="Times New Roman" w:cs="Times New Roman"/>
          <w:sz w:val="24"/>
          <w:szCs w:val="24"/>
        </w:rPr>
        <w:t xml:space="preserve">Eesti </w:t>
      </w:r>
      <w:r w:rsidR="00F070A9">
        <w:rPr>
          <w:rFonts w:ascii="Times New Roman" w:hAnsi="Times New Roman" w:cs="Times New Roman"/>
          <w:sz w:val="24"/>
          <w:szCs w:val="24"/>
        </w:rPr>
        <w:t xml:space="preserve">soolise palgalõhe </w:t>
      </w:r>
      <w:proofErr w:type="spellStart"/>
      <w:r w:rsidR="00F070A9">
        <w:rPr>
          <w:rFonts w:ascii="Times New Roman" w:hAnsi="Times New Roman" w:cs="Times New Roman"/>
          <w:sz w:val="24"/>
          <w:szCs w:val="24"/>
        </w:rPr>
        <w:t>üld</w:t>
      </w:r>
      <w:r>
        <w:rPr>
          <w:rFonts w:ascii="Times New Roman" w:hAnsi="Times New Roman" w:cs="Times New Roman"/>
          <w:sz w:val="24"/>
          <w:szCs w:val="24"/>
        </w:rPr>
        <w:t>andmete</w:t>
      </w:r>
      <w:proofErr w:type="spellEnd"/>
      <w:r>
        <w:rPr>
          <w:rFonts w:ascii="Times New Roman" w:hAnsi="Times New Roman" w:cs="Times New Roman"/>
          <w:sz w:val="24"/>
          <w:szCs w:val="24"/>
        </w:rPr>
        <w:t xml:space="preserve"> võrdlus teiste EL riikidega</w:t>
      </w:r>
      <w:r w:rsidR="002323AF">
        <w:rPr>
          <w:rFonts w:ascii="Times New Roman" w:hAnsi="Times New Roman" w:cs="Times New Roman"/>
          <w:sz w:val="24"/>
          <w:szCs w:val="24"/>
        </w:rPr>
        <w:t xml:space="preserve"> </w:t>
      </w:r>
      <w:proofErr w:type="spellStart"/>
      <w:r w:rsidR="002323AF">
        <w:rPr>
          <w:rFonts w:ascii="Times New Roman" w:hAnsi="Times New Roman" w:cs="Times New Roman"/>
          <w:sz w:val="24"/>
          <w:szCs w:val="24"/>
        </w:rPr>
        <w:t>Eurostati</w:t>
      </w:r>
      <w:proofErr w:type="spellEnd"/>
      <w:r w:rsidR="002323AF">
        <w:rPr>
          <w:rFonts w:ascii="Times New Roman" w:hAnsi="Times New Roman" w:cs="Times New Roman"/>
          <w:sz w:val="24"/>
          <w:szCs w:val="24"/>
        </w:rPr>
        <w:t xml:space="preserve"> näitajate alusel</w:t>
      </w:r>
      <w:r>
        <w:rPr>
          <w:rFonts w:ascii="Times New Roman" w:hAnsi="Times New Roman" w:cs="Times New Roman"/>
          <w:sz w:val="24"/>
          <w:szCs w:val="24"/>
        </w:rPr>
        <w:t>.</w:t>
      </w:r>
    </w:p>
    <w:p w:rsidR="00EE38B6" w:rsidRDefault="00EE38B6">
      <w:pPr>
        <w:rPr>
          <w:rFonts w:ascii="Times New Roman" w:hAnsi="Times New Roman" w:cs="Times New Roman"/>
          <w:sz w:val="24"/>
          <w:szCs w:val="24"/>
        </w:rPr>
      </w:pPr>
      <w:r>
        <w:rPr>
          <w:rFonts w:ascii="Times New Roman" w:hAnsi="Times New Roman" w:cs="Times New Roman"/>
          <w:sz w:val="24"/>
          <w:szCs w:val="24"/>
        </w:rPr>
        <w:t xml:space="preserve">Alljärgnevalt on teiste EL riikidega üldise võrdluspildi saamiseks kasutatud </w:t>
      </w:r>
      <w:proofErr w:type="spellStart"/>
      <w:r>
        <w:rPr>
          <w:rFonts w:ascii="Times New Roman" w:hAnsi="Times New Roman" w:cs="Times New Roman"/>
          <w:sz w:val="24"/>
          <w:szCs w:val="24"/>
        </w:rPr>
        <w:t>Eurostati</w:t>
      </w:r>
      <w:proofErr w:type="spellEnd"/>
      <w:r>
        <w:rPr>
          <w:rFonts w:ascii="Times New Roman" w:hAnsi="Times New Roman" w:cs="Times New Roman"/>
          <w:sz w:val="24"/>
          <w:szCs w:val="24"/>
        </w:rPr>
        <w:t xml:space="preserve"> andmeid (st välja on jäänud </w:t>
      </w:r>
      <w:r w:rsidR="002323AF">
        <w:rPr>
          <w:rFonts w:ascii="Times New Roman" w:hAnsi="Times New Roman" w:cs="Times New Roman"/>
          <w:sz w:val="24"/>
          <w:szCs w:val="24"/>
        </w:rPr>
        <w:t xml:space="preserve">Eestis üsna laialt levinud </w:t>
      </w:r>
      <w:r>
        <w:rPr>
          <w:rFonts w:ascii="Times New Roman" w:hAnsi="Times New Roman" w:cs="Times New Roman"/>
          <w:sz w:val="24"/>
          <w:szCs w:val="24"/>
        </w:rPr>
        <w:t xml:space="preserve">väga väikeste ettevõtete </w:t>
      </w:r>
      <w:r w:rsidR="002323AF">
        <w:rPr>
          <w:rFonts w:ascii="Times New Roman" w:hAnsi="Times New Roman" w:cs="Times New Roman"/>
          <w:sz w:val="24"/>
          <w:szCs w:val="24"/>
        </w:rPr>
        <w:t xml:space="preserve"> </w:t>
      </w:r>
      <w:r>
        <w:rPr>
          <w:rFonts w:ascii="Times New Roman" w:hAnsi="Times New Roman" w:cs="Times New Roman"/>
          <w:sz w:val="24"/>
          <w:szCs w:val="24"/>
        </w:rPr>
        <w:t>-</w:t>
      </w:r>
      <w:r w:rsidR="002323AF">
        <w:rPr>
          <w:rFonts w:ascii="Times New Roman" w:hAnsi="Times New Roman" w:cs="Times New Roman"/>
          <w:sz w:val="24"/>
          <w:szCs w:val="24"/>
        </w:rPr>
        <w:t xml:space="preserve"> </w:t>
      </w:r>
      <w:r>
        <w:rPr>
          <w:rFonts w:ascii="Times New Roman" w:hAnsi="Times New Roman" w:cs="Times New Roman"/>
          <w:sz w:val="24"/>
          <w:szCs w:val="24"/>
        </w:rPr>
        <w:t>alla 10 töötaja - töötajatele makstud palgad ja mõned tegevusalad).</w:t>
      </w:r>
    </w:p>
    <w:p w:rsidR="00EE38B6" w:rsidRDefault="002323AF">
      <w:pPr>
        <w:rPr>
          <w:rFonts w:ascii="Times New Roman" w:hAnsi="Times New Roman" w:cs="Times New Roman"/>
          <w:sz w:val="24"/>
          <w:szCs w:val="24"/>
        </w:rPr>
      </w:pPr>
      <w:r>
        <w:rPr>
          <w:rFonts w:ascii="Times New Roman" w:hAnsi="Times New Roman" w:cs="Times New Roman"/>
          <w:sz w:val="24"/>
          <w:szCs w:val="24"/>
        </w:rPr>
        <w:t>Joonis 2. EL riigid soolise palgalõhe koondnäitaja järgi 2012 aastal</w:t>
      </w:r>
    </w:p>
    <w:p w:rsidR="00EE38B6" w:rsidRDefault="002323AF">
      <w:pPr>
        <w:rPr>
          <w:rFonts w:ascii="Times New Roman" w:hAnsi="Times New Roman" w:cs="Times New Roman"/>
          <w:sz w:val="24"/>
          <w:szCs w:val="24"/>
        </w:rPr>
      </w:pPr>
      <w:r>
        <w:rPr>
          <w:noProof/>
          <w:lang w:eastAsia="et-EE"/>
        </w:rPr>
        <w:drawing>
          <wp:inline distT="0" distB="0" distL="0" distR="0">
            <wp:extent cx="5759450" cy="2520950"/>
            <wp:effectExtent l="0" t="0" r="0" b="0"/>
            <wp:docPr id="3" name="Pilt 3" descr="http://epp.eurostat.ec.europa.eu/statistics_explained/images/b/ba/Figure1_The_unadjusted_Gender_pay_gap%2C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p.eurostat.ec.europa.eu/statistics_explained/images/b/ba/Figure1_The_unadjusted_Gender_pay_gap%2C2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860" cy="2522443"/>
                    </a:xfrm>
                    <a:prstGeom prst="rect">
                      <a:avLst/>
                    </a:prstGeom>
                    <a:noFill/>
                    <a:ln>
                      <a:noFill/>
                    </a:ln>
                  </pic:spPr>
                </pic:pic>
              </a:graphicData>
            </a:graphic>
          </wp:inline>
        </w:drawing>
      </w:r>
    </w:p>
    <w:p w:rsidR="00E96D9E" w:rsidRPr="00E96D9E" w:rsidRDefault="00E96D9E">
      <w:pPr>
        <w:rPr>
          <w:rFonts w:ascii="Times New Roman" w:hAnsi="Times New Roman" w:cs="Times New Roman"/>
          <w:i/>
          <w:sz w:val="18"/>
          <w:szCs w:val="18"/>
        </w:rPr>
      </w:pPr>
      <w:r w:rsidRPr="00E96D9E">
        <w:rPr>
          <w:rFonts w:ascii="Times New Roman" w:hAnsi="Times New Roman" w:cs="Times New Roman"/>
          <w:i/>
          <w:sz w:val="18"/>
          <w:szCs w:val="18"/>
        </w:rPr>
        <w:t xml:space="preserve">Allikas: </w:t>
      </w:r>
      <w:proofErr w:type="spellStart"/>
      <w:r w:rsidRPr="00E96D9E">
        <w:rPr>
          <w:rFonts w:ascii="Times New Roman" w:hAnsi="Times New Roman" w:cs="Times New Roman"/>
          <w:i/>
          <w:sz w:val="18"/>
          <w:szCs w:val="18"/>
        </w:rPr>
        <w:t>Eurostat</w:t>
      </w:r>
      <w:proofErr w:type="spellEnd"/>
    </w:p>
    <w:p w:rsidR="00E96D9E" w:rsidRDefault="00F070A9">
      <w:pPr>
        <w:rPr>
          <w:rFonts w:ascii="Times New Roman" w:hAnsi="Times New Roman" w:cs="Times New Roman"/>
          <w:sz w:val="24"/>
          <w:szCs w:val="24"/>
        </w:rPr>
      </w:pPr>
      <w:r>
        <w:rPr>
          <w:rFonts w:ascii="Times New Roman" w:hAnsi="Times New Roman" w:cs="Times New Roman"/>
          <w:sz w:val="24"/>
          <w:szCs w:val="24"/>
        </w:rPr>
        <w:t xml:space="preserve">Tegevusalade lõikes ja </w:t>
      </w:r>
      <w:proofErr w:type="spellStart"/>
      <w:r>
        <w:rPr>
          <w:rFonts w:ascii="Times New Roman" w:hAnsi="Times New Roman" w:cs="Times New Roman"/>
          <w:sz w:val="24"/>
          <w:szCs w:val="24"/>
        </w:rPr>
        <w:t>Eurostati</w:t>
      </w:r>
      <w:proofErr w:type="spellEnd"/>
      <w:r>
        <w:rPr>
          <w:rFonts w:ascii="Times New Roman" w:hAnsi="Times New Roman" w:cs="Times New Roman"/>
          <w:sz w:val="24"/>
          <w:szCs w:val="24"/>
        </w:rPr>
        <w:t xml:space="preserve"> metoodika kohaselt (st. väikesi firmasid välja jättes) näeme mõnevõrra erinevat pilti:</w:t>
      </w:r>
    </w:p>
    <w:p w:rsidR="00F070A9" w:rsidRDefault="00F070A9">
      <w:pPr>
        <w:rPr>
          <w:rFonts w:ascii="Times New Roman" w:hAnsi="Times New Roman" w:cs="Times New Roman"/>
          <w:sz w:val="24"/>
          <w:szCs w:val="24"/>
        </w:rPr>
      </w:pPr>
      <w:r>
        <w:rPr>
          <w:rFonts w:ascii="Times New Roman" w:hAnsi="Times New Roman" w:cs="Times New Roman"/>
          <w:sz w:val="24"/>
          <w:szCs w:val="24"/>
        </w:rPr>
        <w:lastRenderedPageBreak/>
        <w:t>Tabel nr 3.</w:t>
      </w:r>
    </w:p>
    <w:p w:rsidR="00F070A9" w:rsidRDefault="00F070A9">
      <w:pPr>
        <w:rPr>
          <w:rFonts w:ascii="Times New Roman" w:hAnsi="Times New Roman" w:cs="Times New Roman"/>
          <w:sz w:val="24"/>
          <w:szCs w:val="24"/>
        </w:rPr>
      </w:pPr>
      <w:r>
        <w:rPr>
          <w:noProof/>
          <w:lang w:eastAsia="et-EE"/>
        </w:rPr>
        <w:drawing>
          <wp:inline distT="0" distB="0" distL="0" distR="0">
            <wp:extent cx="5760085" cy="3651250"/>
            <wp:effectExtent l="0" t="0" r="0" b="6350"/>
            <wp:docPr id="4" name="Pilt 4" descr="http://epp.eurostat.ec.europa.eu/statistics_explained/images/0/07/Table2_data_by_N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pp.eurostat.ec.europa.eu/statistics_explained/images/0/07/Table2_data_by_NAC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6899" cy="3655569"/>
                    </a:xfrm>
                    <a:prstGeom prst="rect">
                      <a:avLst/>
                    </a:prstGeom>
                    <a:noFill/>
                    <a:ln>
                      <a:noFill/>
                    </a:ln>
                  </pic:spPr>
                </pic:pic>
              </a:graphicData>
            </a:graphic>
          </wp:inline>
        </w:drawing>
      </w:r>
    </w:p>
    <w:p w:rsidR="00E96D9E" w:rsidRDefault="00E96D9E">
      <w:pPr>
        <w:rPr>
          <w:rFonts w:ascii="Times New Roman" w:hAnsi="Times New Roman" w:cs="Times New Roman"/>
          <w:i/>
          <w:sz w:val="18"/>
          <w:szCs w:val="18"/>
        </w:rPr>
      </w:pPr>
      <w:r w:rsidRPr="00E96D9E">
        <w:rPr>
          <w:rFonts w:ascii="Times New Roman" w:hAnsi="Times New Roman" w:cs="Times New Roman"/>
          <w:i/>
          <w:sz w:val="18"/>
          <w:szCs w:val="18"/>
        </w:rPr>
        <w:t xml:space="preserve">Allikas: </w:t>
      </w:r>
      <w:hyperlink r:id="rId19" w:history="1">
        <w:r w:rsidRPr="00586A48">
          <w:rPr>
            <w:rStyle w:val="Hperlink"/>
            <w:rFonts w:ascii="Times New Roman" w:hAnsi="Times New Roman" w:cs="Times New Roman"/>
            <w:i/>
            <w:sz w:val="18"/>
            <w:szCs w:val="18"/>
          </w:rPr>
          <w:t>http://epp.eurostat.ec.europa.eu/statistics_explained/index.php/Gender_pay_gap_statistics</w:t>
        </w:r>
      </w:hyperlink>
    </w:p>
    <w:p w:rsidR="00F070A9" w:rsidRDefault="00F070A9">
      <w:pPr>
        <w:rPr>
          <w:rFonts w:ascii="Times New Roman" w:hAnsi="Times New Roman" w:cs="Times New Roman"/>
          <w:sz w:val="24"/>
          <w:szCs w:val="24"/>
        </w:rPr>
      </w:pPr>
      <w:r>
        <w:rPr>
          <w:rFonts w:ascii="Times New Roman" w:hAnsi="Times New Roman" w:cs="Times New Roman"/>
          <w:sz w:val="24"/>
          <w:szCs w:val="24"/>
        </w:rPr>
        <w:t xml:space="preserve">Eeskätt nähtub, et avaliku </w:t>
      </w:r>
      <w:r w:rsidR="001220AB">
        <w:rPr>
          <w:rFonts w:ascii="Times New Roman" w:hAnsi="Times New Roman" w:cs="Times New Roman"/>
          <w:sz w:val="24"/>
          <w:szCs w:val="24"/>
        </w:rPr>
        <w:t xml:space="preserve">halduse </w:t>
      </w:r>
      <w:r>
        <w:rPr>
          <w:rFonts w:ascii="Times New Roman" w:hAnsi="Times New Roman" w:cs="Times New Roman"/>
          <w:sz w:val="24"/>
          <w:szCs w:val="24"/>
        </w:rPr>
        <w:t xml:space="preserve">sektori sooline palgalõhe Eestis </w:t>
      </w:r>
      <w:r w:rsidR="001220AB">
        <w:rPr>
          <w:rFonts w:ascii="Times New Roman" w:hAnsi="Times New Roman" w:cs="Times New Roman"/>
          <w:sz w:val="24"/>
          <w:szCs w:val="24"/>
        </w:rPr>
        <w:t xml:space="preserve">umbes EL riikide keskmisel tasemel või sellest madalam, </w:t>
      </w:r>
      <w:r>
        <w:rPr>
          <w:rFonts w:ascii="Times New Roman" w:hAnsi="Times New Roman" w:cs="Times New Roman"/>
          <w:sz w:val="24"/>
          <w:szCs w:val="24"/>
        </w:rPr>
        <w:t xml:space="preserve">on </w:t>
      </w:r>
      <w:r w:rsidR="001220AB">
        <w:rPr>
          <w:rFonts w:ascii="Times New Roman" w:hAnsi="Times New Roman" w:cs="Times New Roman"/>
          <w:sz w:val="24"/>
          <w:szCs w:val="24"/>
        </w:rPr>
        <w:t xml:space="preserve">arvuliselt </w:t>
      </w:r>
      <w:r>
        <w:rPr>
          <w:rFonts w:ascii="Times New Roman" w:hAnsi="Times New Roman" w:cs="Times New Roman"/>
          <w:sz w:val="24"/>
          <w:szCs w:val="24"/>
        </w:rPr>
        <w:t xml:space="preserve">alla 10 % ja on koguni kaks korda madalam võrreldes </w:t>
      </w:r>
      <w:r w:rsidR="001220AB">
        <w:rPr>
          <w:rFonts w:ascii="Times New Roman" w:hAnsi="Times New Roman" w:cs="Times New Roman"/>
          <w:sz w:val="24"/>
          <w:szCs w:val="24"/>
        </w:rPr>
        <w:t xml:space="preserve">mitmete  </w:t>
      </w:r>
      <w:r>
        <w:rPr>
          <w:rFonts w:ascii="Times New Roman" w:hAnsi="Times New Roman" w:cs="Times New Roman"/>
          <w:sz w:val="24"/>
          <w:szCs w:val="24"/>
        </w:rPr>
        <w:t>teiste riik</w:t>
      </w:r>
      <w:r w:rsidR="001220AB">
        <w:rPr>
          <w:rFonts w:ascii="Times New Roman" w:hAnsi="Times New Roman" w:cs="Times New Roman"/>
          <w:sz w:val="24"/>
          <w:szCs w:val="24"/>
        </w:rPr>
        <w:t>id</w:t>
      </w:r>
      <w:r>
        <w:rPr>
          <w:rFonts w:ascii="Times New Roman" w:hAnsi="Times New Roman" w:cs="Times New Roman"/>
          <w:sz w:val="24"/>
          <w:szCs w:val="24"/>
        </w:rPr>
        <w:t>e</w:t>
      </w:r>
      <w:r w:rsidR="001220AB">
        <w:rPr>
          <w:rFonts w:ascii="Times New Roman" w:hAnsi="Times New Roman" w:cs="Times New Roman"/>
          <w:sz w:val="24"/>
          <w:szCs w:val="24"/>
        </w:rPr>
        <w:t xml:space="preserve"> vastavate näitajatega. Teiselt poolt kõiguvad soolise palgalõhe näitajad aastate lõikes märgatavalt ja mõnel puhul (näiteks ehituse negatiivne palgalõhe Rumeenias, Sloveenias ja Poolas) on neid arvandmeid üsna raske seletada ja põhjendada (kvalifikatsioon, registreerimata töö jne), eriti näiteks arvesse võttes, et need riigid on oma vastavate üld</w:t>
      </w:r>
      <w:r w:rsidR="001367A5">
        <w:rPr>
          <w:rFonts w:ascii="Times New Roman" w:hAnsi="Times New Roman" w:cs="Times New Roman"/>
          <w:sz w:val="24"/>
          <w:szCs w:val="24"/>
        </w:rPr>
        <w:t xml:space="preserve">iste </w:t>
      </w:r>
      <w:r w:rsidR="001220AB">
        <w:rPr>
          <w:rFonts w:ascii="Times New Roman" w:hAnsi="Times New Roman" w:cs="Times New Roman"/>
          <w:sz w:val="24"/>
          <w:szCs w:val="24"/>
        </w:rPr>
        <w:t>näitajate tasemel Euroopa madalaimad.</w:t>
      </w:r>
    </w:p>
    <w:p w:rsidR="001220AB" w:rsidRDefault="001220AB">
      <w:pPr>
        <w:rPr>
          <w:rFonts w:ascii="Times New Roman" w:hAnsi="Times New Roman" w:cs="Times New Roman"/>
          <w:sz w:val="24"/>
          <w:szCs w:val="24"/>
        </w:rPr>
      </w:pPr>
    </w:p>
    <w:p w:rsidR="001367A5" w:rsidRDefault="001367A5">
      <w:pPr>
        <w:rPr>
          <w:rFonts w:ascii="Times New Roman" w:hAnsi="Times New Roman" w:cs="Times New Roman"/>
          <w:sz w:val="24"/>
          <w:szCs w:val="24"/>
        </w:rPr>
      </w:pPr>
      <w:r>
        <w:rPr>
          <w:rFonts w:ascii="Times New Roman" w:hAnsi="Times New Roman" w:cs="Times New Roman"/>
          <w:sz w:val="24"/>
          <w:szCs w:val="24"/>
        </w:rPr>
        <w:t xml:space="preserve">Põhjalikuma </w:t>
      </w:r>
      <w:r w:rsidR="009C38A8">
        <w:rPr>
          <w:rFonts w:ascii="Times New Roman" w:hAnsi="Times New Roman" w:cs="Times New Roman"/>
          <w:sz w:val="24"/>
          <w:szCs w:val="24"/>
        </w:rPr>
        <w:t xml:space="preserve">teoreetilist laadi </w:t>
      </w:r>
      <w:r>
        <w:rPr>
          <w:rFonts w:ascii="Times New Roman" w:hAnsi="Times New Roman" w:cs="Times New Roman"/>
          <w:sz w:val="24"/>
          <w:szCs w:val="24"/>
        </w:rPr>
        <w:t xml:space="preserve">ülevaate võimalikest meetmetest naiste sisukamaks kaasamiseks ettevõtlusse [seda aga jälle esmajoones soolise palgalõhe kontekstis] annab </w:t>
      </w:r>
      <w:r w:rsidR="009C38A8">
        <w:rPr>
          <w:rFonts w:ascii="Times New Roman" w:hAnsi="Times New Roman" w:cs="Times New Roman"/>
          <w:sz w:val="24"/>
          <w:szCs w:val="24"/>
        </w:rPr>
        <w:t>(lk 30-54</w:t>
      </w:r>
      <w:r w:rsidR="00C438F2">
        <w:rPr>
          <w:rFonts w:ascii="Times New Roman" w:hAnsi="Times New Roman" w:cs="Times New Roman"/>
          <w:sz w:val="24"/>
          <w:szCs w:val="24"/>
        </w:rPr>
        <w:t xml:space="preserve">) </w:t>
      </w:r>
      <w:r>
        <w:rPr>
          <w:rFonts w:ascii="Times New Roman" w:hAnsi="Times New Roman" w:cs="Times New Roman"/>
          <w:sz w:val="24"/>
          <w:szCs w:val="24"/>
        </w:rPr>
        <w:t xml:space="preserve">vastav </w:t>
      </w:r>
      <w:proofErr w:type="spellStart"/>
      <w:r>
        <w:rPr>
          <w:rFonts w:ascii="Times New Roman" w:hAnsi="Times New Roman" w:cs="Times New Roman"/>
          <w:sz w:val="24"/>
          <w:szCs w:val="24"/>
        </w:rPr>
        <w:t>Praxise</w:t>
      </w:r>
      <w:proofErr w:type="spellEnd"/>
      <w:r>
        <w:rPr>
          <w:rFonts w:ascii="Times New Roman" w:hAnsi="Times New Roman" w:cs="Times New Roman"/>
          <w:sz w:val="24"/>
          <w:szCs w:val="24"/>
        </w:rPr>
        <w:t xml:space="preserve"> uuring Sooli</w:t>
      </w:r>
      <w:r w:rsidR="009C38A8">
        <w:rPr>
          <w:rFonts w:ascii="Times New Roman" w:hAnsi="Times New Roman" w:cs="Times New Roman"/>
          <w:sz w:val="24"/>
          <w:szCs w:val="24"/>
        </w:rPr>
        <w:t>ne palgalõhe (2010</w:t>
      </w:r>
      <w:r>
        <w:rPr>
          <w:rFonts w:ascii="Times New Roman" w:hAnsi="Times New Roman" w:cs="Times New Roman"/>
          <w:sz w:val="24"/>
          <w:szCs w:val="24"/>
        </w:rPr>
        <w:t>).</w:t>
      </w:r>
    </w:p>
    <w:p w:rsidR="001367A5" w:rsidRDefault="00691785">
      <w:pPr>
        <w:rPr>
          <w:rFonts w:ascii="Times New Roman" w:hAnsi="Times New Roman" w:cs="Times New Roman"/>
          <w:i/>
          <w:sz w:val="18"/>
          <w:szCs w:val="18"/>
        </w:rPr>
      </w:pPr>
      <w:hyperlink r:id="rId20" w:history="1">
        <w:r w:rsidR="009C38A8" w:rsidRPr="00586A48">
          <w:rPr>
            <w:rStyle w:val="Hperlink"/>
            <w:rFonts w:ascii="Times New Roman" w:hAnsi="Times New Roman" w:cs="Times New Roman"/>
            <w:i/>
            <w:sz w:val="18"/>
            <w:szCs w:val="18"/>
          </w:rPr>
          <w:t>http://www.praxis.ee/fileadmin/ta</w:t>
        </w:r>
        <w:r w:rsidR="009C38A8" w:rsidRPr="00586A48">
          <w:rPr>
            <w:rStyle w:val="Hperlink"/>
            <w:rFonts w:ascii="Times New Roman" w:hAnsi="Times New Roman" w:cs="Times New Roman"/>
            <w:i/>
            <w:sz w:val="18"/>
            <w:szCs w:val="18"/>
          </w:rPr>
          <w:t>r</w:t>
        </w:r>
        <w:r w:rsidR="009C38A8" w:rsidRPr="00586A48">
          <w:rPr>
            <w:rStyle w:val="Hperlink"/>
            <w:rFonts w:ascii="Times New Roman" w:hAnsi="Times New Roman" w:cs="Times New Roman"/>
            <w:i/>
            <w:sz w:val="18"/>
            <w:szCs w:val="18"/>
          </w:rPr>
          <w:t>mo/Projektid/Too-ja_Sotsiaalpoliitika/4_raport.pdf</w:t>
        </w:r>
      </w:hyperlink>
    </w:p>
    <w:p w:rsidR="001367A5" w:rsidRPr="009C38A8" w:rsidRDefault="001367A5">
      <w:pPr>
        <w:rPr>
          <w:rFonts w:ascii="Times New Roman" w:hAnsi="Times New Roman" w:cs="Times New Roman"/>
          <w:i/>
          <w:sz w:val="18"/>
          <w:szCs w:val="18"/>
        </w:rPr>
      </w:pPr>
    </w:p>
    <w:p w:rsidR="001367A5" w:rsidRDefault="001367A5">
      <w:pPr>
        <w:rPr>
          <w:rFonts w:ascii="Times New Roman" w:hAnsi="Times New Roman" w:cs="Times New Roman"/>
          <w:sz w:val="24"/>
          <w:szCs w:val="24"/>
        </w:rPr>
      </w:pPr>
      <w:r>
        <w:rPr>
          <w:rFonts w:ascii="Times New Roman" w:hAnsi="Times New Roman" w:cs="Times New Roman"/>
          <w:sz w:val="24"/>
          <w:szCs w:val="24"/>
        </w:rPr>
        <w:t>Toivo Mängel</w:t>
      </w:r>
      <w:r w:rsidR="0094392B">
        <w:rPr>
          <w:rFonts w:ascii="Times New Roman" w:hAnsi="Times New Roman" w:cs="Times New Roman"/>
          <w:sz w:val="24"/>
          <w:szCs w:val="24"/>
        </w:rPr>
        <w:t xml:space="preserve">                                                                             Kai Raudkivi</w:t>
      </w:r>
    </w:p>
    <w:p w:rsidR="001367A5" w:rsidRDefault="001367A5">
      <w:pPr>
        <w:rPr>
          <w:rFonts w:ascii="Times New Roman" w:hAnsi="Times New Roman" w:cs="Times New Roman"/>
          <w:sz w:val="24"/>
          <w:szCs w:val="24"/>
        </w:rPr>
      </w:pPr>
      <w:r>
        <w:rPr>
          <w:rFonts w:ascii="Times New Roman" w:hAnsi="Times New Roman" w:cs="Times New Roman"/>
          <w:sz w:val="24"/>
          <w:szCs w:val="24"/>
        </w:rPr>
        <w:t>Nõunik</w:t>
      </w:r>
      <w:r w:rsidR="0094392B">
        <w:rPr>
          <w:rFonts w:ascii="Times New Roman" w:hAnsi="Times New Roman" w:cs="Times New Roman"/>
          <w:sz w:val="24"/>
          <w:szCs w:val="24"/>
        </w:rPr>
        <w:t xml:space="preserve">                                                                                       </w:t>
      </w:r>
      <w:proofErr w:type="spellStart"/>
      <w:r w:rsidR="0094392B">
        <w:rPr>
          <w:rFonts w:ascii="Times New Roman" w:hAnsi="Times New Roman" w:cs="Times New Roman"/>
          <w:sz w:val="24"/>
          <w:szCs w:val="24"/>
        </w:rPr>
        <w:t>Nõunik</w:t>
      </w:r>
      <w:proofErr w:type="spellEnd"/>
    </w:p>
    <w:p w:rsidR="001367A5" w:rsidRDefault="001367A5">
      <w:pPr>
        <w:rPr>
          <w:rFonts w:ascii="Times New Roman" w:hAnsi="Times New Roman" w:cs="Times New Roman"/>
          <w:sz w:val="24"/>
          <w:szCs w:val="24"/>
        </w:rPr>
      </w:pPr>
    </w:p>
    <w:p w:rsidR="001367A5" w:rsidRPr="00EE38B6" w:rsidRDefault="001367A5">
      <w:pPr>
        <w:rPr>
          <w:rFonts w:ascii="Times New Roman" w:hAnsi="Times New Roman" w:cs="Times New Roman"/>
          <w:sz w:val="24"/>
          <w:szCs w:val="24"/>
        </w:rPr>
      </w:pPr>
      <w:r>
        <w:rPr>
          <w:rFonts w:ascii="Times New Roman" w:hAnsi="Times New Roman" w:cs="Times New Roman"/>
          <w:sz w:val="24"/>
          <w:szCs w:val="24"/>
        </w:rPr>
        <w:t>Tel 65 15</w:t>
      </w:r>
    </w:p>
    <w:sectPr w:rsidR="001367A5" w:rsidRPr="00EE3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E0C"/>
    <w:multiLevelType w:val="hybridMultilevel"/>
    <w:tmpl w:val="DFD0C0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3860CA"/>
    <w:multiLevelType w:val="hybridMultilevel"/>
    <w:tmpl w:val="F592A9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0A"/>
    <w:rsid w:val="001220AB"/>
    <w:rsid w:val="001367A5"/>
    <w:rsid w:val="002323AF"/>
    <w:rsid w:val="005A7465"/>
    <w:rsid w:val="006808AE"/>
    <w:rsid w:val="00691785"/>
    <w:rsid w:val="006B64EB"/>
    <w:rsid w:val="008A57E2"/>
    <w:rsid w:val="0094392B"/>
    <w:rsid w:val="009C38A8"/>
    <w:rsid w:val="009D3A50"/>
    <w:rsid w:val="00C438F2"/>
    <w:rsid w:val="00E238B1"/>
    <w:rsid w:val="00E96D9E"/>
    <w:rsid w:val="00EE38B6"/>
    <w:rsid w:val="00F070A9"/>
    <w:rsid w:val="00FE68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FBE61-7F3A-48BE-8E68-B98B9A15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FE680A"/>
    <w:rPr>
      <w:color w:val="0563C1" w:themeColor="hyperlink"/>
      <w:u w:val="single"/>
    </w:rPr>
  </w:style>
  <w:style w:type="paragraph" w:styleId="Loendilik">
    <w:name w:val="List Paragraph"/>
    <w:basedOn w:val="Normaallaad"/>
    <w:uiPriority w:val="34"/>
    <w:qFormat/>
    <w:rsid w:val="00EE38B6"/>
    <w:pPr>
      <w:ind w:left="720"/>
      <w:contextualSpacing/>
    </w:pPr>
  </w:style>
  <w:style w:type="paragraph" w:styleId="Normaallaadveeb">
    <w:name w:val="Normal (Web)"/>
    <w:basedOn w:val="Normaallaad"/>
    <w:uiPriority w:val="99"/>
    <w:semiHidden/>
    <w:unhideWhenUsed/>
    <w:rsid w:val="00EE38B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EE38B6"/>
    <w:rPr>
      <w:b/>
      <w:bCs/>
    </w:rPr>
  </w:style>
  <w:style w:type="character" w:styleId="Rhutus">
    <w:name w:val="Emphasis"/>
    <w:basedOn w:val="Liguvaikefont"/>
    <w:uiPriority w:val="20"/>
    <w:qFormat/>
    <w:rsid w:val="00EE38B6"/>
    <w:rPr>
      <w:i/>
      <w:iCs/>
    </w:rPr>
  </w:style>
  <w:style w:type="character" w:styleId="Klastatudhperlink">
    <w:name w:val="FollowedHyperlink"/>
    <w:basedOn w:val="Liguvaikefont"/>
    <w:uiPriority w:val="99"/>
    <w:semiHidden/>
    <w:unhideWhenUsed/>
    <w:rsid w:val="00691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4555">
      <w:bodyDiv w:val="1"/>
      <w:marLeft w:val="0"/>
      <w:marRight w:val="0"/>
      <w:marTop w:val="0"/>
      <w:marBottom w:val="0"/>
      <w:divBdr>
        <w:top w:val="none" w:sz="0" w:space="0" w:color="auto"/>
        <w:left w:val="none" w:sz="0" w:space="0" w:color="auto"/>
        <w:bottom w:val="none" w:sz="0" w:space="0" w:color="auto"/>
        <w:right w:val="none" w:sz="0" w:space="0" w:color="auto"/>
      </w:divBdr>
      <w:divsChild>
        <w:div w:id="1348827029">
          <w:marLeft w:val="0"/>
          <w:marRight w:val="0"/>
          <w:marTop w:val="0"/>
          <w:marBottom w:val="0"/>
          <w:divBdr>
            <w:top w:val="none" w:sz="0" w:space="0" w:color="auto"/>
            <w:left w:val="none" w:sz="0" w:space="0" w:color="auto"/>
            <w:bottom w:val="none" w:sz="0" w:space="0" w:color="auto"/>
            <w:right w:val="none" w:sz="0" w:space="0" w:color="auto"/>
          </w:divBdr>
          <w:divsChild>
            <w:div w:id="2127850572">
              <w:marLeft w:val="0"/>
              <w:marRight w:val="0"/>
              <w:marTop w:val="0"/>
              <w:marBottom w:val="0"/>
              <w:divBdr>
                <w:top w:val="none" w:sz="0" w:space="0" w:color="auto"/>
                <w:left w:val="none" w:sz="0" w:space="0" w:color="auto"/>
                <w:bottom w:val="none" w:sz="0" w:space="0" w:color="auto"/>
                <w:right w:val="none" w:sz="0" w:space="0" w:color="auto"/>
              </w:divBdr>
              <w:divsChild>
                <w:div w:id="1887645656">
                  <w:marLeft w:val="0"/>
                  <w:marRight w:val="0"/>
                  <w:marTop w:val="0"/>
                  <w:marBottom w:val="0"/>
                  <w:divBdr>
                    <w:top w:val="none" w:sz="0" w:space="0" w:color="auto"/>
                    <w:left w:val="none" w:sz="0" w:space="0" w:color="auto"/>
                    <w:bottom w:val="none" w:sz="0" w:space="0" w:color="auto"/>
                    <w:right w:val="none" w:sz="0" w:space="0" w:color="auto"/>
                  </w:divBdr>
                  <w:divsChild>
                    <w:div w:id="2045597648">
                      <w:marLeft w:val="0"/>
                      <w:marRight w:val="0"/>
                      <w:marTop w:val="0"/>
                      <w:marBottom w:val="0"/>
                      <w:divBdr>
                        <w:top w:val="none" w:sz="0" w:space="0" w:color="auto"/>
                        <w:left w:val="none" w:sz="0" w:space="0" w:color="auto"/>
                        <w:bottom w:val="none" w:sz="0" w:space="0" w:color="auto"/>
                        <w:right w:val="none" w:sz="0" w:space="0" w:color="auto"/>
                      </w:divBdr>
                      <w:divsChild>
                        <w:div w:id="1772583671">
                          <w:marLeft w:val="0"/>
                          <w:marRight w:val="0"/>
                          <w:marTop w:val="0"/>
                          <w:marBottom w:val="0"/>
                          <w:divBdr>
                            <w:top w:val="none" w:sz="0" w:space="0" w:color="auto"/>
                            <w:left w:val="none" w:sz="0" w:space="0" w:color="auto"/>
                            <w:bottom w:val="none" w:sz="0" w:space="0" w:color="auto"/>
                            <w:right w:val="none" w:sz="0" w:space="0" w:color="auto"/>
                          </w:divBdr>
                          <w:divsChild>
                            <w:div w:id="3025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72298&amp;p_query=&amp;p_tr2" TargetMode="External"/><Relationship Id="rId13" Type="http://schemas.openxmlformats.org/officeDocument/2006/relationships/hyperlink" Target="http://statistikaamet.wordpress.com/2014/04/28/sooline-palgalohe-maakondades-ja-omaniku-liigiti-2013-aasta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ite.gov.pt/asstscite/downloads/IV_PNI_2011_2013.pdf" TargetMode="Externa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tatistikaamet.wordpress.com/2014/04/28/sooline-palgalohe-maakondades-ja-omaniku-liigiti-2013-aastal/" TargetMode="External"/><Relationship Id="rId20" Type="http://schemas.openxmlformats.org/officeDocument/2006/relationships/hyperlink" Target="http://www.praxis.ee/fileadmin/tarmo/Projektid/Too-ja_Sotsiaalpoliitika/4_raport.pdf" TargetMode="External"/><Relationship Id="rId1" Type="http://schemas.openxmlformats.org/officeDocument/2006/relationships/numbering" Target="numbering.xml"/><Relationship Id="rId6" Type="http://schemas.openxmlformats.org/officeDocument/2006/relationships/hyperlink" Target="http://www.stm.fi/tasa-arvo/samapalkkaisuus" TargetMode="External"/><Relationship Id="rId11" Type="http://schemas.openxmlformats.org/officeDocument/2006/relationships/hyperlink" Target="http://statistikaamet.files.wordpress.com/2014/04/011.png" TargetMode="External"/><Relationship Id="rId5" Type="http://schemas.openxmlformats.org/officeDocument/2006/relationships/hyperlink" Target="http://ec.europa.eu/justice/gender-equality/equality-pays-off/women-mean-business/index_en.htm" TargetMode="External"/><Relationship Id="rId15" Type="http://schemas.openxmlformats.org/officeDocument/2006/relationships/image" Target="media/image2.png"/><Relationship Id="rId10" Type="http://schemas.openxmlformats.org/officeDocument/2006/relationships/hyperlink" Target="http://www.praxis.ee/fileadmin/tarmo/Projektid/Too-ja_Sotsiaalpoliitika/4_raport.pdf" TargetMode="External"/><Relationship Id="rId19" Type="http://schemas.openxmlformats.org/officeDocument/2006/relationships/hyperlink" Target="http://epp.eurostat.ec.europa.eu/statistics_explained/index.php/Gender_pay_gap_statistics" TargetMode="External"/><Relationship Id="rId4" Type="http://schemas.openxmlformats.org/officeDocument/2006/relationships/webSettings" Target="webSettings.xml"/><Relationship Id="rId9" Type="http://schemas.openxmlformats.org/officeDocument/2006/relationships/hyperlink" Target="http://ec.europa.eu/justice/gender-equality/files/gender_pay_gap/gpg_brochure_2013_final_en.pdf" TargetMode="External"/><Relationship Id="rId14" Type="http://schemas.openxmlformats.org/officeDocument/2006/relationships/hyperlink" Target="http://statistikaamet.files.wordpress.com/2014/04/tabel.png"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2065</Words>
  <Characters>11979</Characters>
  <Application>Microsoft Office Word</Application>
  <DocSecurity>0</DocSecurity>
  <Lines>99</Lines>
  <Paragraphs>28</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 Mängel</dc:creator>
  <cp:keywords/>
  <dc:description/>
  <cp:lastModifiedBy>Margit Muul</cp:lastModifiedBy>
  <cp:revision>5</cp:revision>
  <dcterms:created xsi:type="dcterms:W3CDTF">2014-09-25T08:27:00Z</dcterms:created>
  <dcterms:modified xsi:type="dcterms:W3CDTF">2014-12-15T12:26:00Z</dcterms:modified>
</cp:coreProperties>
</file>