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23" w:rsidRDefault="00D24123" w:rsidP="00D24123">
      <w:r>
        <w:rPr>
          <w:noProof/>
          <w:lang w:eastAsia="et-EE"/>
        </w:rPr>
        <w:drawing>
          <wp:inline distT="0" distB="0" distL="0" distR="0">
            <wp:extent cx="1485900" cy="923925"/>
            <wp:effectExtent l="19050" t="0" r="0" b="0"/>
            <wp:docPr id="1" name="Pilt 1" descr="RIIGIKOGU logod 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IGIKOGU logod EST2"/>
                    <pic:cNvPicPr>
                      <a:picLocks noChangeAspect="1" noChangeArrowheads="1"/>
                    </pic:cNvPicPr>
                  </pic:nvPicPr>
                  <pic:blipFill>
                    <a:blip r:embed="rId4"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D24123" w:rsidRDefault="00D24123" w:rsidP="00D24123"/>
    <w:p w:rsidR="00D24123" w:rsidRDefault="00D24123" w:rsidP="00D24123">
      <w:r>
        <w:tab/>
      </w:r>
      <w:r>
        <w:tab/>
      </w:r>
      <w:r>
        <w:tab/>
      </w:r>
      <w:r>
        <w:tab/>
      </w:r>
      <w:r>
        <w:tab/>
      </w:r>
      <w:r>
        <w:tab/>
      </w:r>
      <w:r>
        <w:tab/>
      </w:r>
      <w:r>
        <w:tab/>
      </w:r>
      <w:r w:rsidR="00E12AD2">
        <w:tab/>
      </w:r>
      <w:r w:rsidR="00FC391F">
        <w:tab/>
      </w:r>
      <w:r>
        <w:t>17.05.2013</w:t>
      </w:r>
      <w:r w:rsidR="00E12AD2">
        <w:t xml:space="preserve"> </w:t>
      </w:r>
      <w:r>
        <w:t xml:space="preserve">nr </w:t>
      </w:r>
      <w:r w:rsidR="00E12AD2">
        <w:t>149</w:t>
      </w:r>
    </w:p>
    <w:p w:rsidR="00D24123" w:rsidRPr="00B03773" w:rsidRDefault="00202B32" w:rsidP="00D24123">
      <w:pPr>
        <w:jc w:val="center"/>
        <w:rPr>
          <w:b/>
          <w:sz w:val="28"/>
          <w:szCs w:val="28"/>
        </w:rPr>
      </w:pPr>
      <w:r>
        <w:rPr>
          <w:b/>
          <w:sz w:val="28"/>
          <w:szCs w:val="28"/>
        </w:rPr>
        <w:t>Keskmine pension Euroopa Liidu riikides</w:t>
      </w:r>
      <w:r w:rsidR="00D24123" w:rsidRPr="00B03773">
        <w:rPr>
          <w:b/>
          <w:sz w:val="28"/>
          <w:szCs w:val="28"/>
        </w:rPr>
        <w:t xml:space="preserve"> </w:t>
      </w:r>
    </w:p>
    <w:p w:rsidR="002F33B6" w:rsidRDefault="002F33B6" w:rsidP="00320BBF"/>
    <w:p w:rsidR="00320BBF" w:rsidRDefault="00320BBF" w:rsidP="002359F5">
      <w:pPr>
        <w:jc w:val="both"/>
      </w:pPr>
      <w:r>
        <w:t>Keskmise  vanaduspensioni  nominaalsuuruse  kohta  jooksvat  statistikat  ei  avalda</w:t>
      </w:r>
      <w:r w:rsidR="00CA3C69">
        <w:t>ta</w:t>
      </w:r>
      <w:r>
        <w:t>,  kuna  vanaduspensioni  majanduslik  sisu ja selle arvutamise alused on süsteemide mitmekesisuse tõttu riigiti väga erinevad. OECD</w:t>
      </w:r>
      <w:r w:rsidR="00CA3C69">
        <w:t xml:space="preserve"> ja </w:t>
      </w:r>
      <w:proofErr w:type="spellStart"/>
      <w:r w:rsidR="00CA3C69">
        <w:t>Eurostati</w:t>
      </w:r>
      <w:proofErr w:type="spellEnd"/>
      <w:r>
        <w:t xml:space="preserve">  analüüsid  võrdlevad  riike  peamiselt  pensionisüsteemide  üldiste  jätkusuutlikkuse  indikaatorite  kaudu  (asendusmäär, pensionikulud SKTst, keskmine </w:t>
      </w:r>
      <w:proofErr w:type="spellStart"/>
      <w:r>
        <w:t>tööjätuiga</w:t>
      </w:r>
      <w:proofErr w:type="spellEnd"/>
      <w:r>
        <w:t xml:space="preserve">, vaesusriskis vanemaealiste osakaal jm). </w:t>
      </w:r>
    </w:p>
    <w:p w:rsidR="00283348" w:rsidRDefault="003F6F6F" w:rsidP="002359F5">
      <w:pPr>
        <w:jc w:val="both"/>
      </w:pPr>
      <w:r>
        <w:t>Keskmise arvutamisel eri riikide administratiivsetest allikatest saadud andmete alusel (sotsiaalkindlusametid või pensioniametid) on tulemused süsteemide erinevusest tulenevalt raskesti võrreldavad – nt võivad need erinevalt kajastada kohustuslike ja vabatahtlike pensionisammaste komponente.</w:t>
      </w:r>
      <w:r w:rsidR="00283348" w:rsidRPr="00283348">
        <w:t xml:space="preserve"> </w:t>
      </w:r>
      <w:r w:rsidR="00283348">
        <w:t xml:space="preserve">Pensioniealiste netosissetulekut mõjutab lisaks pensioni nominaalsuurusele veel näiteks see, kas ja kui suures ulatuses on pension maksustatud või kas lisaks pensionile makstakse veel täiendavaid toetusi (nt on riike, kus suur osa pensionäre saab </w:t>
      </w:r>
      <w:r w:rsidR="00F13B39">
        <w:t xml:space="preserve">pensionilisana </w:t>
      </w:r>
      <w:r w:rsidR="00283348">
        <w:t>eluasemetoetust</w:t>
      </w:r>
      <w:r w:rsidR="00FA6197">
        <w:t>, pensionilisa alaealise lapse kasvatamise korral</w:t>
      </w:r>
      <w:r w:rsidR="00283348">
        <w:t xml:space="preserve"> </w:t>
      </w:r>
      <w:proofErr w:type="spellStart"/>
      <w:r w:rsidR="00283348">
        <w:t>vmt</w:t>
      </w:r>
      <w:proofErr w:type="spellEnd"/>
      <w:r w:rsidR="00283348">
        <w:t>).</w:t>
      </w:r>
    </w:p>
    <w:p w:rsidR="002318C2" w:rsidRDefault="002318C2" w:rsidP="002359F5">
      <w:pPr>
        <w:jc w:val="both"/>
      </w:pPr>
      <w:r>
        <w:t xml:space="preserve">Töö sisaldab Eesti Statistikaameti andmeid Balti riikide keskmiste pensionide kohta (2012), </w:t>
      </w:r>
      <w:r w:rsidRPr="00BC4B42">
        <w:rPr>
          <w:szCs w:val="24"/>
        </w:rPr>
        <w:t>Euroopa sotsiaalkaitsesüsteemide võrdlevas andmebaasis</w:t>
      </w:r>
      <w:r>
        <w:rPr>
          <w:szCs w:val="24"/>
        </w:rPr>
        <w:t xml:space="preserve"> toodud </w:t>
      </w:r>
      <w:r w:rsidR="004D4DEB">
        <w:rPr>
          <w:szCs w:val="24"/>
        </w:rPr>
        <w:t>infot</w:t>
      </w:r>
      <w:r>
        <w:rPr>
          <w:szCs w:val="24"/>
        </w:rPr>
        <w:t xml:space="preserve"> miinimumpensionide kohta (2012), </w:t>
      </w:r>
      <w:r w:rsidR="000771E1">
        <w:rPr>
          <w:szCs w:val="24"/>
        </w:rPr>
        <w:t xml:space="preserve">sama allika andmeid miinimumpensioni ja keskmise palga suhte kohta ning lõpuks </w:t>
      </w:r>
      <w:r w:rsidR="004D4DEB">
        <w:rPr>
          <w:szCs w:val="24"/>
        </w:rPr>
        <w:t>asendusmäärade ja keskmise palga kaudu arvutatud ligikaudseid keskmise pensioni suurusi riikide kohta, mille osas vajalikud andmed olid kättesaadavad.</w:t>
      </w:r>
    </w:p>
    <w:p w:rsidR="00B85047" w:rsidRDefault="00B85047" w:rsidP="002359F5">
      <w:pPr>
        <w:jc w:val="both"/>
      </w:pPr>
      <w:r>
        <w:t xml:space="preserve">Eesti statistikaamet avaldab </w:t>
      </w:r>
      <w:proofErr w:type="spellStart"/>
      <w:r>
        <w:t>kvartaalseid</w:t>
      </w:r>
      <w:proofErr w:type="spellEnd"/>
      <w:r>
        <w:t xml:space="preserve"> võrdlusandmeid Balti riikide kesksete näitajate kohta, sh keskmise pensioni suuruse.</w:t>
      </w:r>
      <w:r w:rsidR="00BC4B42">
        <w:t xml:space="preserve"> </w:t>
      </w:r>
      <w:r>
        <w:t xml:space="preserve"> </w:t>
      </w:r>
    </w:p>
    <w:p w:rsidR="00842D44" w:rsidRDefault="001B6DC4" w:rsidP="001B47F0">
      <w:pPr>
        <w:spacing w:after="0"/>
      </w:pPr>
      <w:r>
        <w:t xml:space="preserve">Tabel 1. </w:t>
      </w:r>
      <w:r w:rsidR="00842D44">
        <w:t>Eesti, Läti, Leedu keskmine vanaduspension 2009-2012</w:t>
      </w:r>
      <w:r w:rsidR="00902FD9">
        <w:t xml:space="preserve"> (eurot kuus)</w:t>
      </w:r>
    </w:p>
    <w:tbl>
      <w:tblPr>
        <w:tblStyle w:val="Kontuurtabel"/>
        <w:tblW w:w="0" w:type="auto"/>
        <w:tblLook w:val="04A0"/>
      </w:tblPr>
      <w:tblGrid>
        <w:gridCol w:w="1909"/>
        <w:gridCol w:w="1876"/>
        <w:gridCol w:w="1876"/>
        <w:gridCol w:w="1876"/>
        <w:gridCol w:w="1751"/>
      </w:tblGrid>
      <w:tr w:rsidR="00393623" w:rsidTr="00393623">
        <w:tc>
          <w:tcPr>
            <w:tcW w:w="1909" w:type="dxa"/>
          </w:tcPr>
          <w:p w:rsidR="00393623" w:rsidRDefault="00393623" w:rsidP="006C1D1B">
            <w:pPr>
              <w:spacing w:after="0"/>
            </w:pPr>
          </w:p>
        </w:tc>
        <w:tc>
          <w:tcPr>
            <w:tcW w:w="1876" w:type="dxa"/>
          </w:tcPr>
          <w:p w:rsidR="00393623" w:rsidRDefault="00393623" w:rsidP="006C1D1B">
            <w:pPr>
              <w:spacing w:after="0"/>
            </w:pPr>
            <w:r>
              <w:t>2009</w:t>
            </w:r>
          </w:p>
        </w:tc>
        <w:tc>
          <w:tcPr>
            <w:tcW w:w="1876" w:type="dxa"/>
          </w:tcPr>
          <w:p w:rsidR="00393623" w:rsidRDefault="00393623" w:rsidP="006C1D1B">
            <w:pPr>
              <w:spacing w:after="0"/>
            </w:pPr>
            <w:r>
              <w:t>2010</w:t>
            </w:r>
          </w:p>
        </w:tc>
        <w:tc>
          <w:tcPr>
            <w:tcW w:w="1876" w:type="dxa"/>
          </w:tcPr>
          <w:p w:rsidR="00393623" w:rsidRDefault="00393623" w:rsidP="006C1D1B">
            <w:pPr>
              <w:spacing w:after="0"/>
            </w:pPr>
            <w:r>
              <w:t>2011</w:t>
            </w:r>
          </w:p>
        </w:tc>
        <w:tc>
          <w:tcPr>
            <w:tcW w:w="1751" w:type="dxa"/>
          </w:tcPr>
          <w:p w:rsidR="00393623" w:rsidRPr="00EF64FA" w:rsidRDefault="00393623" w:rsidP="006C1D1B">
            <w:pPr>
              <w:spacing w:after="0"/>
              <w:rPr>
                <w:b/>
              </w:rPr>
            </w:pPr>
            <w:r w:rsidRPr="00EF64FA">
              <w:rPr>
                <w:b/>
              </w:rPr>
              <w:t>2012</w:t>
            </w:r>
          </w:p>
        </w:tc>
      </w:tr>
      <w:tr w:rsidR="00393623" w:rsidTr="00393623">
        <w:tc>
          <w:tcPr>
            <w:tcW w:w="1909" w:type="dxa"/>
          </w:tcPr>
          <w:p w:rsidR="00393623" w:rsidRPr="00EF64FA" w:rsidRDefault="00393623" w:rsidP="006C1D1B">
            <w:pPr>
              <w:spacing w:after="0"/>
              <w:rPr>
                <w:b/>
              </w:rPr>
            </w:pPr>
            <w:r w:rsidRPr="00EF64FA">
              <w:rPr>
                <w:b/>
              </w:rPr>
              <w:t>Eesti</w:t>
            </w:r>
          </w:p>
        </w:tc>
        <w:tc>
          <w:tcPr>
            <w:tcW w:w="1876" w:type="dxa"/>
          </w:tcPr>
          <w:p w:rsidR="00393623" w:rsidRDefault="00C77220" w:rsidP="006C1D1B">
            <w:pPr>
              <w:spacing w:after="0"/>
            </w:pPr>
            <w:r>
              <w:t>301</w:t>
            </w:r>
          </w:p>
        </w:tc>
        <w:tc>
          <w:tcPr>
            <w:tcW w:w="1876" w:type="dxa"/>
          </w:tcPr>
          <w:p w:rsidR="00393623" w:rsidRDefault="00C77220" w:rsidP="006C1D1B">
            <w:pPr>
              <w:spacing w:after="0"/>
            </w:pPr>
            <w:r>
              <w:t>305</w:t>
            </w:r>
          </w:p>
        </w:tc>
        <w:tc>
          <w:tcPr>
            <w:tcW w:w="1876" w:type="dxa"/>
          </w:tcPr>
          <w:p w:rsidR="00393623" w:rsidRDefault="00C77220" w:rsidP="006C1D1B">
            <w:pPr>
              <w:spacing w:after="0"/>
            </w:pPr>
            <w:r>
              <w:t>305</w:t>
            </w:r>
          </w:p>
        </w:tc>
        <w:tc>
          <w:tcPr>
            <w:tcW w:w="1751" w:type="dxa"/>
          </w:tcPr>
          <w:p w:rsidR="00393623" w:rsidRPr="00EF64FA" w:rsidRDefault="00C77220" w:rsidP="006C1D1B">
            <w:pPr>
              <w:spacing w:after="0"/>
              <w:rPr>
                <w:b/>
              </w:rPr>
            </w:pPr>
            <w:r w:rsidRPr="00EF64FA">
              <w:rPr>
                <w:b/>
              </w:rPr>
              <w:t>313</w:t>
            </w:r>
          </w:p>
        </w:tc>
      </w:tr>
      <w:tr w:rsidR="00393623" w:rsidTr="00393623">
        <w:tc>
          <w:tcPr>
            <w:tcW w:w="1909" w:type="dxa"/>
          </w:tcPr>
          <w:p w:rsidR="00393623" w:rsidRPr="00EF64FA" w:rsidRDefault="00393623" w:rsidP="006C1D1B">
            <w:pPr>
              <w:spacing w:after="0"/>
              <w:rPr>
                <w:b/>
              </w:rPr>
            </w:pPr>
            <w:r w:rsidRPr="00EF64FA">
              <w:rPr>
                <w:b/>
              </w:rPr>
              <w:t>Läti</w:t>
            </w:r>
          </w:p>
        </w:tc>
        <w:tc>
          <w:tcPr>
            <w:tcW w:w="1876" w:type="dxa"/>
          </w:tcPr>
          <w:p w:rsidR="00393623" w:rsidRDefault="00C77220" w:rsidP="006C1D1B">
            <w:pPr>
              <w:spacing w:after="0"/>
            </w:pPr>
            <w:r>
              <w:t>232</w:t>
            </w:r>
          </w:p>
        </w:tc>
        <w:tc>
          <w:tcPr>
            <w:tcW w:w="1876" w:type="dxa"/>
          </w:tcPr>
          <w:p w:rsidR="00393623" w:rsidRDefault="00C77220" w:rsidP="006C1D1B">
            <w:pPr>
              <w:spacing w:after="0"/>
            </w:pPr>
            <w:r>
              <w:t>250</w:t>
            </w:r>
          </w:p>
        </w:tc>
        <w:tc>
          <w:tcPr>
            <w:tcW w:w="1876" w:type="dxa"/>
          </w:tcPr>
          <w:p w:rsidR="00393623" w:rsidRDefault="00C77220" w:rsidP="006C1D1B">
            <w:pPr>
              <w:spacing w:after="0"/>
            </w:pPr>
            <w:r>
              <w:t>253</w:t>
            </w:r>
          </w:p>
        </w:tc>
        <w:tc>
          <w:tcPr>
            <w:tcW w:w="1751" w:type="dxa"/>
          </w:tcPr>
          <w:p w:rsidR="00393623" w:rsidRPr="00EF64FA" w:rsidRDefault="00C77220" w:rsidP="006C1D1B">
            <w:pPr>
              <w:spacing w:after="0"/>
              <w:rPr>
                <w:b/>
              </w:rPr>
            </w:pPr>
            <w:r w:rsidRPr="00EF64FA">
              <w:rPr>
                <w:b/>
              </w:rPr>
              <w:t>256</w:t>
            </w:r>
          </w:p>
        </w:tc>
      </w:tr>
      <w:tr w:rsidR="00393623" w:rsidTr="00393623">
        <w:tc>
          <w:tcPr>
            <w:tcW w:w="1909" w:type="dxa"/>
          </w:tcPr>
          <w:p w:rsidR="00393623" w:rsidRPr="00EF64FA" w:rsidRDefault="00393623" w:rsidP="006C1D1B">
            <w:pPr>
              <w:spacing w:after="0"/>
              <w:rPr>
                <w:b/>
              </w:rPr>
            </w:pPr>
            <w:r w:rsidRPr="00EF64FA">
              <w:rPr>
                <w:b/>
              </w:rPr>
              <w:t>Leedu</w:t>
            </w:r>
          </w:p>
        </w:tc>
        <w:tc>
          <w:tcPr>
            <w:tcW w:w="1876" w:type="dxa"/>
          </w:tcPr>
          <w:p w:rsidR="00393623" w:rsidRDefault="00C77220" w:rsidP="006C1D1B">
            <w:pPr>
              <w:spacing w:after="0"/>
            </w:pPr>
            <w:r>
              <w:t xml:space="preserve">235  </w:t>
            </w:r>
          </w:p>
        </w:tc>
        <w:tc>
          <w:tcPr>
            <w:tcW w:w="1876" w:type="dxa"/>
          </w:tcPr>
          <w:p w:rsidR="00393623" w:rsidRDefault="00C77220" w:rsidP="006C1D1B">
            <w:pPr>
              <w:spacing w:after="0"/>
            </w:pPr>
            <w:r>
              <w:t>236</w:t>
            </w:r>
          </w:p>
        </w:tc>
        <w:tc>
          <w:tcPr>
            <w:tcW w:w="1876" w:type="dxa"/>
          </w:tcPr>
          <w:p w:rsidR="00393623" w:rsidRDefault="00C77220" w:rsidP="006C1D1B">
            <w:pPr>
              <w:spacing w:after="0"/>
            </w:pPr>
            <w:r>
              <w:t xml:space="preserve">236  </w:t>
            </w:r>
          </w:p>
        </w:tc>
        <w:tc>
          <w:tcPr>
            <w:tcW w:w="1751" w:type="dxa"/>
          </w:tcPr>
          <w:p w:rsidR="00393623" w:rsidRPr="00EF64FA" w:rsidRDefault="00C77220" w:rsidP="006C1D1B">
            <w:pPr>
              <w:spacing w:after="0"/>
              <w:rPr>
                <w:b/>
              </w:rPr>
            </w:pPr>
            <w:r w:rsidRPr="00EF64FA">
              <w:rPr>
                <w:b/>
              </w:rPr>
              <w:t xml:space="preserve">236   </w:t>
            </w:r>
          </w:p>
        </w:tc>
      </w:tr>
    </w:tbl>
    <w:p w:rsidR="00BC4B42" w:rsidRDefault="00393623" w:rsidP="006C1D1B">
      <w:pPr>
        <w:spacing w:after="0"/>
        <w:rPr>
          <w:sz w:val="20"/>
          <w:szCs w:val="20"/>
        </w:rPr>
      </w:pPr>
      <w:r w:rsidRPr="00902FD9">
        <w:rPr>
          <w:sz w:val="20"/>
          <w:szCs w:val="20"/>
        </w:rPr>
        <w:t xml:space="preserve">Allikas: Eesti Statistika kvartalikiri 1/2013 </w:t>
      </w:r>
      <w:hyperlink r:id="rId5" w:history="1">
        <w:r w:rsidRPr="00902FD9">
          <w:rPr>
            <w:rStyle w:val="Hperlink"/>
            <w:sz w:val="20"/>
            <w:szCs w:val="20"/>
          </w:rPr>
          <w:t>http://www.stat.ee/publication-download-pdf?publication_id=34214</w:t>
        </w:r>
      </w:hyperlink>
      <w:r w:rsidRPr="00902FD9">
        <w:rPr>
          <w:sz w:val="20"/>
          <w:szCs w:val="20"/>
        </w:rPr>
        <w:t xml:space="preserve"> </w:t>
      </w:r>
    </w:p>
    <w:p w:rsidR="001B47F0" w:rsidRDefault="001B47F0" w:rsidP="00842D44">
      <w:pPr>
        <w:rPr>
          <w:szCs w:val="24"/>
        </w:rPr>
      </w:pPr>
    </w:p>
    <w:p w:rsidR="00BC4B42" w:rsidRDefault="00BC4B42" w:rsidP="00842D44">
      <w:pPr>
        <w:rPr>
          <w:szCs w:val="24"/>
        </w:rPr>
      </w:pPr>
      <w:r w:rsidRPr="00BC4B42">
        <w:rPr>
          <w:szCs w:val="24"/>
        </w:rPr>
        <w:t>Euroopa sotsiaalkaitsesüsteemide võrdlevas andmebaasis avaldatakse miinimumpensioni su</w:t>
      </w:r>
      <w:r w:rsidR="002F33B6">
        <w:rPr>
          <w:szCs w:val="24"/>
        </w:rPr>
        <w:t>urus.</w:t>
      </w:r>
    </w:p>
    <w:p w:rsidR="002F33B6" w:rsidRDefault="001B6DC4" w:rsidP="002F33B6">
      <w:r>
        <w:lastRenderedPageBreak/>
        <w:t xml:space="preserve">Tabel 2. </w:t>
      </w:r>
      <w:r w:rsidR="002F33B6">
        <w:t>Miinimumpensioni (või sellega võrreldava igakuise väljamakse) suurused kuus EL riikides (andmed seisuga 1. juuli 2012)</w:t>
      </w:r>
    </w:p>
    <w:tbl>
      <w:tblPr>
        <w:tblStyle w:val="Kontuurtabel"/>
        <w:tblW w:w="0" w:type="auto"/>
        <w:tblLook w:val="04A0"/>
      </w:tblPr>
      <w:tblGrid>
        <w:gridCol w:w="2235"/>
        <w:gridCol w:w="6662"/>
      </w:tblGrid>
      <w:tr w:rsidR="002F33B6" w:rsidRPr="00E94610" w:rsidTr="001F5B51">
        <w:tc>
          <w:tcPr>
            <w:tcW w:w="2235" w:type="dxa"/>
          </w:tcPr>
          <w:p w:rsidR="002F33B6" w:rsidRPr="003A3DE9" w:rsidRDefault="002F33B6" w:rsidP="00690F29">
            <w:pPr>
              <w:spacing w:after="0"/>
              <w:rPr>
                <w:b/>
                <w:sz w:val="22"/>
              </w:rPr>
            </w:pPr>
            <w:r w:rsidRPr="003A3DE9">
              <w:rPr>
                <w:b/>
                <w:sz w:val="22"/>
              </w:rPr>
              <w:t>Riik</w:t>
            </w:r>
          </w:p>
        </w:tc>
        <w:tc>
          <w:tcPr>
            <w:tcW w:w="6662" w:type="dxa"/>
          </w:tcPr>
          <w:p w:rsidR="002F33B6" w:rsidRPr="003A3DE9" w:rsidRDefault="002F33B6" w:rsidP="00690F29">
            <w:pPr>
              <w:spacing w:after="0"/>
              <w:rPr>
                <w:b/>
                <w:sz w:val="22"/>
              </w:rPr>
            </w:pPr>
            <w:r w:rsidRPr="003A3DE9">
              <w:rPr>
                <w:b/>
                <w:sz w:val="22"/>
              </w:rPr>
              <w:t>Miinimumpensioni suurus</w:t>
            </w:r>
          </w:p>
        </w:tc>
      </w:tr>
      <w:tr w:rsidR="002F33B6" w:rsidRPr="00E94610" w:rsidTr="001F5B51">
        <w:tc>
          <w:tcPr>
            <w:tcW w:w="2235" w:type="dxa"/>
          </w:tcPr>
          <w:p w:rsidR="002F33B6" w:rsidRPr="003A3DE9" w:rsidRDefault="002F33B6" w:rsidP="00690F29">
            <w:pPr>
              <w:spacing w:after="0"/>
              <w:rPr>
                <w:sz w:val="22"/>
              </w:rPr>
            </w:pPr>
            <w:r w:rsidRPr="003A3DE9">
              <w:rPr>
                <w:sz w:val="22"/>
              </w:rPr>
              <w:t>Austria</w:t>
            </w:r>
          </w:p>
        </w:tc>
        <w:tc>
          <w:tcPr>
            <w:tcW w:w="6662" w:type="dxa"/>
          </w:tcPr>
          <w:p w:rsidR="002F33B6" w:rsidRPr="003A3DE9" w:rsidRDefault="002F33B6" w:rsidP="00690F29">
            <w:pPr>
              <w:spacing w:after="0"/>
              <w:rPr>
                <w:sz w:val="22"/>
              </w:rPr>
            </w:pPr>
            <w:r w:rsidRPr="003A3DE9">
              <w:rPr>
                <w:sz w:val="22"/>
              </w:rPr>
              <w:t xml:space="preserve">814.82 </w:t>
            </w:r>
            <w:proofErr w:type="spellStart"/>
            <w:r w:rsidRPr="003A3DE9">
              <w:rPr>
                <w:sz w:val="22"/>
              </w:rPr>
              <w:t>Eur</w:t>
            </w:r>
            <w:proofErr w:type="spellEnd"/>
            <w:r w:rsidRPr="003A3DE9">
              <w:rPr>
                <w:sz w:val="22"/>
              </w:rPr>
              <w:t xml:space="preserve"> (üksikule) ja </w:t>
            </w:r>
          </w:p>
          <w:p w:rsidR="002F33B6" w:rsidRPr="003A3DE9" w:rsidRDefault="002F33B6" w:rsidP="00690F29">
            <w:pPr>
              <w:spacing w:after="0"/>
              <w:rPr>
                <w:sz w:val="22"/>
              </w:rPr>
            </w:pPr>
            <w:r w:rsidRPr="003A3DE9">
              <w:rPr>
                <w:sz w:val="22"/>
              </w:rPr>
              <w:t xml:space="preserve">1221.68 </w:t>
            </w:r>
            <w:proofErr w:type="spellStart"/>
            <w:r w:rsidRPr="003A3DE9">
              <w:rPr>
                <w:sz w:val="22"/>
              </w:rPr>
              <w:t>Eur</w:t>
            </w:r>
            <w:proofErr w:type="spellEnd"/>
            <w:r w:rsidRPr="003A3DE9">
              <w:rPr>
                <w:sz w:val="22"/>
              </w:rPr>
              <w:t xml:space="preserve">  (abielupaarile)</w:t>
            </w:r>
          </w:p>
        </w:tc>
      </w:tr>
      <w:tr w:rsidR="002F33B6" w:rsidRPr="00E94610" w:rsidTr="001F5B51">
        <w:tc>
          <w:tcPr>
            <w:tcW w:w="2235" w:type="dxa"/>
          </w:tcPr>
          <w:p w:rsidR="002F33B6" w:rsidRPr="003A3DE9" w:rsidRDefault="002F33B6" w:rsidP="00690F29">
            <w:pPr>
              <w:spacing w:after="0"/>
              <w:rPr>
                <w:sz w:val="22"/>
              </w:rPr>
            </w:pPr>
            <w:r w:rsidRPr="003A3DE9">
              <w:rPr>
                <w:sz w:val="22"/>
              </w:rPr>
              <w:t>Belgia</w:t>
            </w:r>
          </w:p>
          <w:p w:rsidR="002F33B6" w:rsidRPr="003A3DE9" w:rsidRDefault="002F33B6" w:rsidP="00690F29">
            <w:pPr>
              <w:spacing w:after="0"/>
              <w:rPr>
                <w:sz w:val="22"/>
              </w:rPr>
            </w:pPr>
          </w:p>
        </w:tc>
        <w:tc>
          <w:tcPr>
            <w:tcW w:w="6662" w:type="dxa"/>
          </w:tcPr>
          <w:p w:rsidR="002F33B6" w:rsidRPr="003A3DE9" w:rsidRDefault="002F33B6" w:rsidP="008C360F">
            <w:pPr>
              <w:spacing w:after="0"/>
              <w:rPr>
                <w:sz w:val="22"/>
              </w:rPr>
            </w:pPr>
            <w:r w:rsidRPr="003A3DE9">
              <w:rPr>
                <w:sz w:val="22"/>
              </w:rPr>
              <w:t>1</w:t>
            </w:r>
            <w:r w:rsidR="008C360F" w:rsidRPr="003A3DE9">
              <w:rPr>
                <w:sz w:val="22"/>
              </w:rPr>
              <w:t>3 052,</w:t>
            </w:r>
            <w:r w:rsidRPr="003A3DE9">
              <w:rPr>
                <w:sz w:val="22"/>
              </w:rPr>
              <w:t>28 EUR (üksikule) ja 16</w:t>
            </w:r>
            <w:r w:rsidR="008C360F" w:rsidRPr="003A3DE9">
              <w:rPr>
                <w:sz w:val="22"/>
              </w:rPr>
              <w:t> </w:t>
            </w:r>
            <w:r w:rsidRPr="003A3DE9">
              <w:rPr>
                <w:sz w:val="22"/>
              </w:rPr>
              <w:t>310</w:t>
            </w:r>
            <w:r w:rsidR="008C360F" w:rsidRPr="003A3DE9">
              <w:rPr>
                <w:sz w:val="22"/>
              </w:rPr>
              <w:t>,</w:t>
            </w:r>
            <w:r w:rsidRPr="003A3DE9">
              <w:rPr>
                <w:sz w:val="22"/>
              </w:rPr>
              <w:t xml:space="preserve">21 EUR/aastas (kooselus), vastavalt 1087 EUR/kuus ja 1359 EUR /kuus. </w:t>
            </w:r>
          </w:p>
        </w:tc>
      </w:tr>
      <w:tr w:rsidR="002F33B6" w:rsidRPr="00E94610" w:rsidTr="001F5B51">
        <w:tc>
          <w:tcPr>
            <w:tcW w:w="2235" w:type="dxa"/>
          </w:tcPr>
          <w:p w:rsidR="002F33B6" w:rsidRPr="003A3DE9" w:rsidRDefault="002F33B6" w:rsidP="00690F29">
            <w:pPr>
              <w:spacing w:after="0"/>
              <w:rPr>
                <w:sz w:val="22"/>
              </w:rPr>
            </w:pPr>
            <w:r w:rsidRPr="003A3DE9">
              <w:rPr>
                <w:sz w:val="22"/>
              </w:rPr>
              <w:t>Bulgaaria</w:t>
            </w:r>
          </w:p>
        </w:tc>
        <w:tc>
          <w:tcPr>
            <w:tcW w:w="6662" w:type="dxa"/>
          </w:tcPr>
          <w:p w:rsidR="002F33B6" w:rsidRPr="003A3DE9" w:rsidRDefault="002F33B6" w:rsidP="00690F29">
            <w:pPr>
              <w:spacing w:after="0"/>
              <w:rPr>
                <w:sz w:val="22"/>
              </w:rPr>
            </w:pPr>
            <w:r w:rsidRPr="003A3DE9">
              <w:rPr>
                <w:sz w:val="22"/>
              </w:rPr>
              <w:t>145 BGN (ca 74 EUR/kuus)</w:t>
            </w:r>
          </w:p>
        </w:tc>
      </w:tr>
      <w:tr w:rsidR="002F33B6" w:rsidRPr="00E94610" w:rsidTr="001F5B51">
        <w:tc>
          <w:tcPr>
            <w:tcW w:w="2235" w:type="dxa"/>
          </w:tcPr>
          <w:p w:rsidR="002F33B6" w:rsidRPr="003A3DE9" w:rsidRDefault="002F33B6" w:rsidP="00690F29">
            <w:pPr>
              <w:spacing w:after="0"/>
              <w:rPr>
                <w:sz w:val="22"/>
              </w:rPr>
            </w:pPr>
            <w:r w:rsidRPr="003A3DE9">
              <w:rPr>
                <w:sz w:val="22"/>
              </w:rPr>
              <w:t>Küpros</w:t>
            </w:r>
          </w:p>
        </w:tc>
        <w:tc>
          <w:tcPr>
            <w:tcW w:w="6662" w:type="dxa"/>
          </w:tcPr>
          <w:p w:rsidR="002F33B6" w:rsidRPr="003A3DE9" w:rsidRDefault="002F33B6" w:rsidP="00690F29">
            <w:pPr>
              <w:spacing w:after="0"/>
              <w:rPr>
                <w:sz w:val="22"/>
              </w:rPr>
            </w:pPr>
            <w:r w:rsidRPr="003A3DE9">
              <w:rPr>
                <w:sz w:val="22"/>
              </w:rPr>
              <w:t>88,22 EUR/nädalas (ca 353 EUR /kuus)</w:t>
            </w:r>
          </w:p>
        </w:tc>
      </w:tr>
      <w:tr w:rsidR="002F33B6" w:rsidRPr="00E94610" w:rsidTr="001F5B51">
        <w:tc>
          <w:tcPr>
            <w:tcW w:w="2235" w:type="dxa"/>
          </w:tcPr>
          <w:p w:rsidR="002F33B6" w:rsidRPr="003A3DE9" w:rsidRDefault="002F33B6" w:rsidP="00690F29">
            <w:pPr>
              <w:spacing w:after="0"/>
              <w:rPr>
                <w:sz w:val="22"/>
              </w:rPr>
            </w:pPr>
            <w:r w:rsidRPr="003A3DE9">
              <w:rPr>
                <w:sz w:val="22"/>
              </w:rPr>
              <w:t>Tšehhi</w:t>
            </w:r>
          </w:p>
          <w:p w:rsidR="002F33B6" w:rsidRPr="003A3DE9" w:rsidRDefault="002F33B6" w:rsidP="00690F29">
            <w:pPr>
              <w:spacing w:after="0"/>
              <w:rPr>
                <w:sz w:val="22"/>
              </w:rPr>
            </w:pPr>
          </w:p>
        </w:tc>
        <w:tc>
          <w:tcPr>
            <w:tcW w:w="6662" w:type="dxa"/>
          </w:tcPr>
          <w:p w:rsidR="002F33B6" w:rsidRPr="003A3DE9" w:rsidRDefault="002F33B6" w:rsidP="00690F29">
            <w:pPr>
              <w:spacing w:after="0"/>
              <w:rPr>
                <w:sz w:val="22"/>
              </w:rPr>
            </w:pPr>
            <w:r w:rsidRPr="003A3DE9">
              <w:rPr>
                <w:sz w:val="22"/>
                <w:lang w:val="cs-CZ"/>
              </w:rPr>
              <w:t>Miinimumpensioni ei kasutata, keskmine pensioni 2011.a oli 405 euri kuus</w:t>
            </w:r>
          </w:p>
        </w:tc>
      </w:tr>
      <w:tr w:rsidR="002F33B6" w:rsidRPr="00E94610" w:rsidTr="001F5B51">
        <w:tc>
          <w:tcPr>
            <w:tcW w:w="2235" w:type="dxa"/>
          </w:tcPr>
          <w:p w:rsidR="002F33B6" w:rsidRPr="003A3DE9" w:rsidRDefault="002F33B6" w:rsidP="00690F29">
            <w:pPr>
              <w:spacing w:after="0"/>
              <w:rPr>
                <w:sz w:val="22"/>
              </w:rPr>
            </w:pPr>
            <w:r w:rsidRPr="003A3DE9">
              <w:rPr>
                <w:sz w:val="22"/>
              </w:rPr>
              <w:t>Taani</w:t>
            </w:r>
          </w:p>
          <w:p w:rsidR="002F33B6" w:rsidRPr="003A3DE9" w:rsidRDefault="002F33B6" w:rsidP="00690F29">
            <w:pPr>
              <w:spacing w:after="0"/>
              <w:rPr>
                <w:sz w:val="22"/>
              </w:rPr>
            </w:pPr>
          </w:p>
        </w:tc>
        <w:tc>
          <w:tcPr>
            <w:tcW w:w="6662" w:type="dxa"/>
          </w:tcPr>
          <w:p w:rsidR="002F33B6" w:rsidRPr="003A3DE9" w:rsidRDefault="002F33B6" w:rsidP="00690F29">
            <w:pPr>
              <w:spacing w:after="0"/>
              <w:rPr>
                <w:sz w:val="22"/>
              </w:rPr>
            </w:pPr>
            <w:r w:rsidRPr="003A3DE9">
              <w:rPr>
                <w:sz w:val="22"/>
              </w:rPr>
              <w:t>Baaspension 8777 EUR/aastas (ca 731 EUR/kuus) , mis eeldab 40 aastast Taanis elamist. Miinimum pension madala sissetulekuga isikutele – 1610 EUR/kuus</w:t>
            </w:r>
          </w:p>
        </w:tc>
      </w:tr>
      <w:tr w:rsidR="002F33B6" w:rsidRPr="00E94610" w:rsidTr="001F5B51">
        <w:tc>
          <w:tcPr>
            <w:tcW w:w="2235" w:type="dxa"/>
          </w:tcPr>
          <w:p w:rsidR="002F33B6" w:rsidRPr="003A3DE9" w:rsidRDefault="002F33B6" w:rsidP="00690F29">
            <w:pPr>
              <w:spacing w:after="0"/>
              <w:rPr>
                <w:sz w:val="22"/>
              </w:rPr>
            </w:pPr>
            <w:r w:rsidRPr="003A3DE9">
              <w:rPr>
                <w:sz w:val="22"/>
              </w:rPr>
              <w:t>Eesti</w:t>
            </w:r>
          </w:p>
        </w:tc>
        <w:tc>
          <w:tcPr>
            <w:tcW w:w="6662" w:type="dxa"/>
          </w:tcPr>
          <w:p w:rsidR="002F33B6" w:rsidRPr="003A3DE9" w:rsidRDefault="002F33B6" w:rsidP="00690F29">
            <w:pPr>
              <w:spacing w:after="0"/>
              <w:rPr>
                <w:sz w:val="22"/>
              </w:rPr>
            </w:pPr>
            <w:r w:rsidRPr="003A3DE9">
              <w:rPr>
                <w:sz w:val="22"/>
              </w:rPr>
              <w:t>131,1 EUR/kuus (rahvapensioni määr)</w:t>
            </w:r>
          </w:p>
        </w:tc>
      </w:tr>
      <w:tr w:rsidR="002F33B6" w:rsidRPr="00E94610" w:rsidTr="001F5B51">
        <w:tc>
          <w:tcPr>
            <w:tcW w:w="2235" w:type="dxa"/>
          </w:tcPr>
          <w:p w:rsidR="002F33B6" w:rsidRPr="003A3DE9" w:rsidRDefault="002F33B6" w:rsidP="00690F29">
            <w:pPr>
              <w:spacing w:after="0"/>
              <w:rPr>
                <w:sz w:val="22"/>
              </w:rPr>
            </w:pPr>
            <w:r w:rsidRPr="003A3DE9">
              <w:rPr>
                <w:sz w:val="22"/>
              </w:rPr>
              <w:t>Soome</w:t>
            </w:r>
          </w:p>
        </w:tc>
        <w:tc>
          <w:tcPr>
            <w:tcW w:w="6662" w:type="dxa"/>
          </w:tcPr>
          <w:p w:rsidR="002F33B6" w:rsidRPr="003A3DE9" w:rsidRDefault="002F33B6" w:rsidP="00690F29">
            <w:pPr>
              <w:spacing w:after="0"/>
              <w:rPr>
                <w:sz w:val="22"/>
              </w:rPr>
            </w:pPr>
            <w:r w:rsidRPr="003A3DE9">
              <w:rPr>
                <w:sz w:val="22"/>
              </w:rPr>
              <w:t>558 EUR/kuus</w:t>
            </w:r>
          </w:p>
        </w:tc>
      </w:tr>
      <w:tr w:rsidR="002F33B6" w:rsidRPr="00E94610" w:rsidTr="001F5B51">
        <w:tc>
          <w:tcPr>
            <w:tcW w:w="2235" w:type="dxa"/>
          </w:tcPr>
          <w:p w:rsidR="002F33B6" w:rsidRPr="003A3DE9" w:rsidRDefault="002F33B6" w:rsidP="00690F29">
            <w:pPr>
              <w:spacing w:after="0"/>
              <w:rPr>
                <w:sz w:val="22"/>
              </w:rPr>
            </w:pPr>
            <w:r w:rsidRPr="003A3DE9">
              <w:rPr>
                <w:sz w:val="22"/>
              </w:rPr>
              <w:t>Prantsusmaa</w:t>
            </w:r>
          </w:p>
        </w:tc>
        <w:tc>
          <w:tcPr>
            <w:tcW w:w="6662" w:type="dxa"/>
          </w:tcPr>
          <w:p w:rsidR="002F33B6" w:rsidRPr="003A3DE9" w:rsidRDefault="00F72F4D" w:rsidP="00690F29">
            <w:pPr>
              <w:spacing w:after="0"/>
              <w:rPr>
                <w:sz w:val="22"/>
              </w:rPr>
            </w:pPr>
            <w:r w:rsidRPr="003A3DE9">
              <w:rPr>
                <w:sz w:val="22"/>
              </w:rPr>
              <w:t>7 451,</w:t>
            </w:r>
            <w:r w:rsidR="002F33B6" w:rsidRPr="003A3DE9">
              <w:rPr>
                <w:sz w:val="22"/>
              </w:rPr>
              <w:t xml:space="preserve">10 </w:t>
            </w:r>
            <w:proofErr w:type="spellStart"/>
            <w:r w:rsidR="002F33B6" w:rsidRPr="003A3DE9">
              <w:rPr>
                <w:sz w:val="22"/>
              </w:rPr>
              <w:t>eur</w:t>
            </w:r>
            <w:proofErr w:type="spellEnd"/>
            <w:r w:rsidR="002F33B6" w:rsidRPr="003A3DE9">
              <w:rPr>
                <w:sz w:val="22"/>
              </w:rPr>
              <w:t xml:space="preserve"> aastas ehk 621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Saksamaa</w:t>
            </w:r>
          </w:p>
        </w:tc>
        <w:tc>
          <w:tcPr>
            <w:tcW w:w="6662" w:type="dxa"/>
          </w:tcPr>
          <w:p w:rsidR="002F33B6" w:rsidRPr="003A3DE9" w:rsidRDefault="002F33B6" w:rsidP="00690F29">
            <w:pPr>
              <w:spacing w:after="0"/>
              <w:rPr>
                <w:sz w:val="22"/>
              </w:rPr>
            </w:pPr>
            <w:r w:rsidRPr="003A3DE9">
              <w:rPr>
                <w:sz w:val="22"/>
              </w:rPr>
              <w:t>Miinimumpensioni mõistet ei kasutata.</w:t>
            </w:r>
          </w:p>
        </w:tc>
      </w:tr>
      <w:tr w:rsidR="002F33B6" w:rsidRPr="00E94610" w:rsidTr="001F5B51">
        <w:tc>
          <w:tcPr>
            <w:tcW w:w="2235" w:type="dxa"/>
          </w:tcPr>
          <w:p w:rsidR="002F33B6" w:rsidRPr="003A3DE9" w:rsidRDefault="002F33B6" w:rsidP="00690F29">
            <w:pPr>
              <w:spacing w:after="0"/>
              <w:rPr>
                <w:sz w:val="22"/>
              </w:rPr>
            </w:pPr>
            <w:r w:rsidRPr="003A3DE9">
              <w:rPr>
                <w:sz w:val="22"/>
              </w:rPr>
              <w:t>Kreeka</w:t>
            </w:r>
          </w:p>
        </w:tc>
        <w:tc>
          <w:tcPr>
            <w:tcW w:w="6662" w:type="dxa"/>
          </w:tcPr>
          <w:p w:rsidR="002F33B6" w:rsidRPr="003A3DE9" w:rsidRDefault="00F72F4D" w:rsidP="00690F29">
            <w:pPr>
              <w:spacing w:after="0"/>
              <w:rPr>
                <w:sz w:val="22"/>
              </w:rPr>
            </w:pPr>
            <w:r w:rsidRPr="003A3DE9">
              <w:rPr>
                <w:sz w:val="22"/>
              </w:rPr>
              <w:t>486,</w:t>
            </w:r>
            <w:r w:rsidR="002F33B6" w:rsidRPr="003A3DE9">
              <w:rPr>
                <w:sz w:val="22"/>
              </w:rPr>
              <w:t xml:space="preserve">84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 xml:space="preserve">Ungari </w:t>
            </w:r>
          </w:p>
        </w:tc>
        <w:tc>
          <w:tcPr>
            <w:tcW w:w="6662" w:type="dxa"/>
          </w:tcPr>
          <w:p w:rsidR="002F33B6" w:rsidRPr="003A3DE9" w:rsidRDefault="002F33B6" w:rsidP="007031D3">
            <w:pPr>
              <w:spacing w:after="0"/>
              <w:rPr>
                <w:sz w:val="22"/>
              </w:rPr>
            </w:pPr>
            <w:r w:rsidRPr="003A3DE9">
              <w:rPr>
                <w:sz w:val="22"/>
              </w:rPr>
              <w:t>HUF28</w:t>
            </w:r>
            <w:r w:rsidR="007031D3" w:rsidRPr="003A3DE9">
              <w:rPr>
                <w:sz w:val="22"/>
              </w:rPr>
              <w:t xml:space="preserve"> </w:t>
            </w:r>
            <w:r w:rsidRPr="003A3DE9">
              <w:rPr>
                <w:sz w:val="22"/>
              </w:rPr>
              <w:t xml:space="preserve">500 (100 </w:t>
            </w:r>
            <w:proofErr w:type="spellStart"/>
            <w:r w:rsidRPr="003A3DE9">
              <w:rPr>
                <w:sz w:val="22"/>
              </w:rPr>
              <w:t>eur</w:t>
            </w:r>
            <w:proofErr w:type="spellEnd"/>
            <w:r w:rsidRPr="003A3DE9">
              <w:rPr>
                <w:sz w:val="22"/>
              </w:rPr>
              <w:t>) kuus</w:t>
            </w:r>
          </w:p>
        </w:tc>
      </w:tr>
      <w:tr w:rsidR="002F33B6" w:rsidRPr="00E94610" w:rsidTr="001F5B51">
        <w:tc>
          <w:tcPr>
            <w:tcW w:w="2235" w:type="dxa"/>
          </w:tcPr>
          <w:p w:rsidR="002F33B6" w:rsidRPr="003A3DE9" w:rsidRDefault="002F33B6" w:rsidP="00690F29">
            <w:pPr>
              <w:spacing w:after="0"/>
              <w:rPr>
                <w:sz w:val="22"/>
              </w:rPr>
            </w:pPr>
            <w:r w:rsidRPr="003A3DE9">
              <w:rPr>
                <w:sz w:val="22"/>
              </w:rPr>
              <w:t>Iirimaa</w:t>
            </w:r>
          </w:p>
        </w:tc>
        <w:tc>
          <w:tcPr>
            <w:tcW w:w="6662" w:type="dxa"/>
          </w:tcPr>
          <w:p w:rsidR="002F33B6" w:rsidRPr="003A3DE9" w:rsidRDefault="002F33B6" w:rsidP="00690F29">
            <w:pPr>
              <w:spacing w:after="0"/>
              <w:rPr>
                <w:sz w:val="22"/>
              </w:rPr>
            </w:pPr>
            <w:r w:rsidRPr="003A3DE9">
              <w:rPr>
                <w:sz w:val="22"/>
              </w:rPr>
              <w:t>Kaks erinevat miinimumi, sõltuvalt inimese vanusest (üleminekusüsteem või sissemaksetest sõltuv)</w:t>
            </w:r>
            <w:r w:rsidRPr="003A3DE9">
              <w:rPr>
                <w:sz w:val="22"/>
              </w:rPr>
              <w:br/>
              <w:t>225</w:t>
            </w:r>
            <w:r w:rsidR="007031D3" w:rsidRPr="003A3DE9">
              <w:rPr>
                <w:sz w:val="22"/>
              </w:rPr>
              <w:t>,</w:t>
            </w:r>
            <w:r w:rsidRPr="003A3DE9">
              <w:rPr>
                <w:sz w:val="22"/>
              </w:rPr>
              <w:t xml:space="preserve">80 </w:t>
            </w:r>
            <w:proofErr w:type="spellStart"/>
            <w:r w:rsidRPr="003A3DE9">
              <w:rPr>
                <w:sz w:val="22"/>
              </w:rPr>
              <w:t>eur</w:t>
            </w:r>
            <w:proofErr w:type="spellEnd"/>
            <w:r w:rsidRPr="003A3DE9">
              <w:rPr>
                <w:sz w:val="22"/>
              </w:rPr>
              <w:t xml:space="preserve"> nädalas (903 </w:t>
            </w:r>
            <w:proofErr w:type="spellStart"/>
            <w:r w:rsidRPr="003A3DE9">
              <w:rPr>
                <w:sz w:val="22"/>
              </w:rPr>
              <w:t>eur</w:t>
            </w:r>
            <w:proofErr w:type="spellEnd"/>
            <w:r w:rsidRPr="003A3DE9">
              <w:rPr>
                <w:sz w:val="22"/>
              </w:rPr>
              <w:t xml:space="preserve"> kuus)</w:t>
            </w:r>
          </w:p>
          <w:p w:rsidR="002F33B6" w:rsidRPr="003A3DE9" w:rsidRDefault="007031D3" w:rsidP="00690F29">
            <w:pPr>
              <w:spacing w:after="0"/>
              <w:rPr>
                <w:sz w:val="22"/>
              </w:rPr>
            </w:pPr>
            <w:r w:rsidRPr="003A3DE9">
              <w:rPr>
                <w:sz w:val="22"/>
              </w:rPr>
              <w:t>115,</w:t>
            </w:r>
            <w:r w:rsidR="002F33B6" w:rsidRPr="003A3DE9">
              <w:rPr>
                <w:sz w:val="22"/>
              </w:rPr>
              <w:t xml:space="preserve">20 </w:t>
            </w:r>
            <w:proofErr w:type="spellStart"/>
            <w:r w:rsidR="002F33B6" w:rsidRPr="003A3DE9">
              <w:rPr>
                <w:sz w:val="22"/>
              </w:rPr>
              <w:t>eur</w:t>
            </w:r>
            <w:proofErr w:type="spellEnd"/>
            <w:r w:rsidR="002F33B6" w:rsidRPr="003A3DE9">
              <w:rPr>
                <w:sz w:val="22"/>
              </w:rPr>
              <w:t xml:space="preserve"> nädalas (461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Itaalia</w:t>
            </w:r>
          </w:p>
        </w:tc>
        <w:tc>
          <w:tcPr>
            <w:tcW w:w="6662" w:type="dxa"/>
          </w:tcPr>
          <w:p w:rsidR="002F33B6" w:rsidRPr="003A3DE9" w:rsidRDefault="007031D3" w:rsidP="007031D3">
            <w:pPr>
              <w:spacing w:after="0"/>
              <w:rPr>
                <w:sz w:val="22"/>
              </w:rPr>
            </w:pPr>
            <w:r w:rsidRPr="003A3DE9">
              <w:rPr>
                <w:sz w:val="22"/>
              </w:rPr>
              <w:t>6 </w:t>
            </w:r>
            <w:r w:rsidR="002F33B6" w:rsidRPr="003A3DE9">
              <w:rPr>
                <w:sz w:val="22"/>
              </w:rPr>
              <w:t>246</w:t>
            </w:r>
            <w:r w:rsidRPr="003A3DE9">
              <w:rPr>
                <w:sz w:val="22"/>
              </w:rPr>
              <w:t>,</w:t>
            </w:r>
            <w:r w:rsidR="002F33B6" w:rsidRPr="003A3DE9">
              <w:rPr>
                <w:sz w:val="22"/>
              </w:rPr>
              <w:t xml:space="preserve">89 </w:t>
            </w:r>
            <w:proofErr w:type="spellStart"/>
            <w:r w:rsidR="002F33B6" w:rsidRPr="003A3DE9">
              <w:rPr>
                <w:sz w:val="22"/>
              </w:rPr>
              <w:t>eur</w:t>
            </w:r>
            <w:proofErr w:type="spellEnd"/>
            <w:r w:rsidR="002F33B6" w:rsidRPr="003A3DE9">
              <w:rPr>
                <w:sz w:val="22"/>
              </w:rPr>
              <w:t xml:space="preserve"> aastas ( 520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Läti</w:t>
            </w:r>
          </w:p>
        </w:tc>
        <w:tc>
          <w:tcPr>
            <w:tcW w:w="6662" w:type="dxa"/>
          </w:tcPr>
          <w:p w:rsidR="002F33B6" w:rsidRPr="003A3DE9" w:rsidRDefault="002F33B6" w:rsidP="00690F29">
            <w:pPr>
              <w:spacing w:after="0"/>
              <w:rPr>
                <w:sz w:val="22"/>
              </w:rPr>
            </w:pPr>
            <w:r w:rsidRPr="003A3DE9">
              <w:rPr>
                <w:sz w:val="22"/>
              </w:rPr>
              <w:t>49</w:t>
            </w:r>
            <w:r w:rsidR="007031D3" w:rsidRPr="003A3DE9">
              <w:rPr>
                <w:sz w:val="22"/>
              </w:rPr>
              <w:t>,</w:t>
            </w:r>
            <w:r w:rsidRPr="003A3DE9">
              <w:rPr>
                <w:sz w:val="22"/>
              </w:rPr>
              <w:t xml:space="preserve">50 latti (71 </w:t>
            </w:r>
            <w:proofErr w:type="spellStart"/>
            <w:r w:rsidRPr="003A3DE9">
              <w:rPr>
                <w:sz w:val="22"/>
              </w:rPr>
              <w:t>eur</w:t>
            </w:r>
            <w:proofErr w:type="spellEnd"/>
            <w:r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Leedu</w:t>
            </w:r>
          </w:p>
        </w:tc>
        <w:tc>
          <w:tcPr>
            <w:tcW w:w="6662" w:type="dxa"/>
          </w:tcPr>
          <w:p w:rsidR="002F33B6" w:rsidRPr="003A3DE9" w:rsidRDefault="002F33B6" w:rsidP="00690F29">
            <w:pPr>
              <w:spacing w:after="0"/>
              <w:rPr>
                <w:sz w:val="22"/>
              </w:rPr>
            </w:pPr>
            <w:r w:rsidRPr="003A3DE9">
              <w:rPr>
                <w:sz w:val="22"/>
              </w:rPr>
              <w:t>Miinimumpensioni mõistet ei kasutata</w:t>
            </w:r>
          </w:p>
        </w:tc>
      </w:tr>
      <w:tr w:rsidR="002F33B6" w:rsidRPr="00E94610" w:rsidTr="001F5B51">
        <w:tc>
          <w:tcPr>
            <w:tcW w:w="2235" w:type="dxa"/>
          </w:tcPr>
          <w:p w:rsidR="002F33B6" w:rsidRPr="003A3DE9" w:rsidRDefault="002F33B6" w:rsidP="00690F29">
            <w:pPr>
              <w:spacing w:after="0"/>
              <w:rPr>
                <w:sz w:val="22"/>
              </w:rPr>
            </w:pPr>
            <w:r w:rsidRPr="003A3DE9">
              <w:rPr>
                <w:sz w:val="22"/>
              </w:rPr>
              <w:t>Luksemburg</w:t>
            </w:r>
          </w:p>
        </w:tc>
        <w:tc>
          <w:tcPr>
            <w:tcW w:w="6662" w:type="dxa"/>
          </w:tcPr>
          <w:p w:rsidR="002F33B6" w:rsidRPr="003A3DE9" w:rsidRDefault="007031D3" w:rsidP="00690F29">
            <w:pPr>
              <w:spacing w:after="0"/>
              <w:rPr>
                <w:sz w:val="22"/>
              </w:rPr>
            </w:pPr>
            <w:r w:rsidRPr="003A3DE9">
              <w:rPr>
                <w:sz w:val="22"/>
              </w:rPr>
              <w:t>1 606,</w:t>
            </w:r>
            <w:r w:rsidR="002F33B6" w:rsidRPr="003A3DE9">
              <w:rPr>
                <w:sz w:val="22"/>
              </w:rPr>
              <w:t xml:space="preserve">06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Malta</w:t>
            </w:r>
          </w:p>
        </w:tc>
        <w:tc>
          <w:tcPr>
            <w:tcW w:w="6662" w:type="dxa"/>
          </w:tcPr>
          <w:p w:rsidR="002F33B6" w:rsidRPr="003A3DE9" w:rsidRDefault="002F33B6" w:rsidP="00690F29">
            <w:pPr>
              <w:pStyle w:val="Normaallaadveeb"/>
              <w:spacing w:before="0" w:beforeAutospacing="0" w:after="0" w:afterAutospacing="0"/>
              <w:rPr>
                <w:sz w:val="22"/>
                <w:szCs w:val="22"/>
              </w:rPr>
            </w:pPr>
            <w:r w:rsidRPr="003A3DE9">
              <w:rPr>
                <w:sz w:val="22"/>
                <w:szCs w:val="22"/>
              </w:rPr>
              <w:t xml:space="preserve">Abielus inimesele </w:t>
            </w:r>
            <w:r w:rsidR="007D389F" w:rsidRPr="003A3DE9">
              <w:rPr>
                <w:sz w:val="22"/>
                <w:szCs w:val="22"/>
              </w:rPr>
              <w:t>131,</w:t>
            </w:r>
            <w:r w:rsidRPr="003A3DE9">
              <w:rPr>
                <w:sz w:val="22"/>
                <w:szCs w:val="22"/>
              </w:rPr>
              <w:t xml:space="preserve">52  </w:t>
            </w:r>
            <w:proofErr w:type="spellStart"/>
            <w:r w:rsidRPr="003A3DE9">
              <w:rPr>
                <w:sz w:val="22"/>
                <w:szCs w:val="22"/>
              </w:rPr>
              <w:t>eur</w:t>
            </w:r>
            <w:proofErr w:type="spellEnd"/>
            <w:r w:rsidRPr="003A3DE9">
              <w:rPr>
                <w:sz w:val="22"/>
                <w:szCs w:val="22"/>
              </w:rPr>
              <w:t xml:space="preserve"> nädalas (526 </w:t>
            </w:r>
            <w:proofErr w:type="spellStart"/>
            <w:r w:rsidRPr="003A3DE9">
              <w:rPr>
                <w:sz w:val="22"/>
                <w:szCs w:val="22"/>
              </w:rPr>
              <w:t>eur</w:t>
            </w:r>
            <w:proofErr w:type="spellEnd"/>
            <w:r w:rsidRPr="003A3DE9">
              <w:rPr>
                <w:sz w:val="22"/>
                <w:szCs w:val="22"/>
              </w:rPr>
              <w:t xml:space="preserve"> kuus).</w:t>
            </w:r>
          </w:p>
          <w:p w:rsidR="002F33B6" w:rsidRPr="003A3DE9" w:rsidRDefault="002F33B6" w:rsidP="00690F29">
            <w:pPr>
              <w:pStyle w:val="Normaallaadveeb"/>
              <w:spacing w:before="0" w:beforeAutospacing="0" w:after="0" w:afterAutospacing="0"/>
              <w:rPr>
                <w:sz w:val="22"/>
                <w:szCs w:val="22"/>
              </w:rPr>
            </w:pPr>
            <w:r w:rsidRPr="003A3DE9">
              <w:rPr>
                <w:sz w:val="22"/>
                <w:szCs w:val="22"/>
              </w:rPr>
              <w:t xml:space="preserve">Üksikule </w:t>
            </w:r>
            <w:r w:rsidR="007D389F" w:rsidRPr="003A3DE9">
              <w:rPr>
                <w:sz w:val="22"/>
                <w:szCs w:val="22"/>
              </w:rPr>
              <w:t>113,</w:t>
            </w:r>
            <w:r w:rsidRPr="003A3DE9">
              <w:rPr>
                <w:sz w:val="22"/>
                <w:szCs w:val="22"/>
              </w:rPr>
              <w:t xml:space="preserve">25 </w:t>
            </w:r>
            <w:proofErr w:type="spellStart"/>
            <w:r w:rsidRPr="003A3DE9">
              <w:rPr>
                <w:sz w:val="22"/>
                <w:szCs w:val="22"/>
              </w:rPr>
              <w:t>eur</w:t>
            </w:r>
            <w:proofErr w:type="spellEnd"/>
            <w:r w:rsidRPr="003A3DE9">
              <w:rPr>
                <w:sz w:val="22"/>
                <w:szCs w:val="22"/>
              </w:rPr>
              <w:t xml:space="preserve"> nädalas (453 </w:t>
            </w:r>
            <w:proofErr w:type="spellStart"/>
            <w:r w:rsidRPr="003A3DE9">
              <w:rPr>
                <w:sz w:val="22"/>
                <w:szCs w:val="22"/>
              </w:rPr>
              <w:t>eur</w:t>
            </w:r>
            <w:proofErr w:type="spellEnd"/>
            <w:r w:rsidRPr="003A3DE9">
              <w:rPr>
                <w:sz w:val="22"/>
                <w:szCs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Poola</w:t>
            </w:r>
          </w:p>
        </w:tc>
        <w:tc>
          <w:tcPr>
            <w:tcW w:w="6662" w:type="dxa"/>
          </w:tcPr>
          <w:p w:rsidR="002F33B6" w:rsidRPr="003A3DE9" w:rsidRDefault="007D389F" w:rsidP="00690F29">
            <w:pPr>
              <w:spacing w:after="0"/>
              <w:rPr>
                <w:sz w:val="22"/>
              </w:rPr>
            </w:pPr>
            <w:r w:rsidRPr="003A3DE9">
              <w:rPr>
                <w:sz w:val="22"/>
              </w:rPr>
              <w:t>PLN799,</w:t>
            </w:r>
            <w:r w:rsidR="002F33B6" w:rsidRPr="003A3DE9">
              <w:rPr>
                <w:sz w:val="22"/>
              </w:rPr>
              <w:t xml:space="preserve">18 (189 </w:t>
            </w:r>
            <w:proofErr w:type="spellStart"/>
            <w:r w:rsidR="002F33B6" w:rsidRPr="003A3DE9">
              <w:rPr>
                <w:sz w:val="22"/>
              </w:rPr>
              <w:t>eur</w:t>
            </w:r>
            <w:proofErr w:type="spellEnd"/>
            <w:r w:rsidR="002F33B6" w:rsidRPr="003A3DE9">
              <w:rPr>
                <w:sz w:val="22"/>
              </w:rPr>
              <w:t>) kuus</w:t>
            </w:r>
          </w:p>
        </w:tc>
      </w:tr>
      <w:tr w:rsidR="002F33B6" w:rsidRPr="00E94610" w:rsidTr="001F5B51">
        <w:tc>
          <w:tcPr>
            <w:tcW w:w="2235" w:type="dxa"/>
          </w:tcPr>
          <w:p w:rsidR="002F33B6" w:rsidRPr="003A3DE9" w:rsidRDefault="002F33B6" w:rsidP="00690F29">
            <w:pPr>
              <w:spacing w:after="0"/>
              <w:rPr>
                <w:sz w:val="22"/>
              </w:rPr>
            </w:pPr>
            <w:r w:rsidRPr="003A3DE9">
              <w:rPr>
                <w:sz w:val="22"/>
              </w:rPr>
              <w:t xml:space="preserve">Portugal </w:t>
            </w:r>
          </w:p>
        </w:tc>
        <w:tc>
          <w:tcPr>
            <w:tcW w:w="6662" w:type="dxa"/>
          </w:tcPr>
          <w:p w:rsidR="002F33B6" w:rsidRPr="003A3DE9" w:rsidRDefault="007D389F" w:rsidP="00690F29">
            <w:pPr>
              <w:spacing w:after="0"/>
              <w:rPr>
                <w:sz w:val="22"/>
              </w:rPr>
            </w:pPr>
            <w:r w:rsidRPr="003A3DE9">
              <w:rPr>
                <w:sz w:val="22"/>
              </w:rPr>
              <w:t>419,</w:t>
            </w:r>
            <w:r w:rsidR="002F33B6" w:rsidRPr="003A3DE9">
              <w:rPr>
                <w:sz w:val="22"/>
              </w:rPr>
              <w:t xml:space="preserve">22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Rumeenia</w:t>
            </w:r>
          </w:p>
        </w:tc>
        <w:tc>
          <w:tcPr>
            <w:tcW w:w="6662" w:type="dxa"/>
          </w:tcPr>
          <w:p w:rsidR="002F33B6" w:rsidRPr="003A3DE9" w:rsidRDefault="002F33B6" w:rsidP="00690F29">
            <w:pPr>
              <w:spacing w:after="0"/>
              <w:rPr>
                <w:sz w:val="22"/>
              </w:rPr>
            </w:pPr>
            <w:r w:rsidRPr="003A3DE9">
              <w:rPr>
                <w:sz w:val="22"/>
              </w:rPr>
              <w:t xml:space="preserve">RON 350 kuus (79 </w:t>
            </w:r>
            <w:proofErr w:type="spellStart"/>
            <w:r w:rsidRPr="003A3DE9">
              <w:rPr>
                <w:sz w:val="22"/>
              </w:rPr>
              <w:t>eur</w:t>
            </w:r>
            <w:proofErr w:type="spellEnd"/>
            <w:r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Slovakkia</w:t>
            </w:r>
          </w:p>
        </w:tc>
        <w:tc>
          <w:tcPr>
            <w:tcW w:w="6662" w:type="dxa"/>
          </w:tcPr>
          <w:p w:rsidR="002F33B6" w:rsidRPr="003A3DE9" w:rsidRDefault="002F33B6" w:rsidP="00690F29">
            <w:pPr>
              <w:spacing w:after="0"/>
              <w:rPr>
                <w:sz w:val="22"/>
              </w:rPr>
            </w:pPr>
            <w:r w:rsidRPr="003A3DE9">
              <w:rPr>
                <w:sz w:val="22"/>
              </w:rPr>
              <w:t>Miinimumpensioni mõistet ei kasutata</w:t>
            </w:r>
          </w:p>
        </w:tc>
      </w:tr>
      <w:tr w:rsidR="002F33B6" w:rsidRPr="00E94610" w:rsidTr="001F5B51">
        <w:tc>
          <w:tcPr>
            <w:tcW w:w="2235" w:type="dxa"/>
          </w:tcPr>
          <w:p w:rsidR="002F33B6" w:rsidRPr="003A3DE9" w:rsidRDefault="002F33B6" w:rsidP="00690F29">
            <w:pPr>
              <w:spacing w:after="0"/>
              <w:rPr>
                <w:sz w:val="22"/>
              </w:rPr>
            </w:pPr>
            <w:r w:rsidRPr="003A3DE9">
              <w:rPr>
                <w:sz w:val="22"/>
              </w:rPr>
              <w:t>Sloveenia</w:t>
            </w:r>
          </w:p>
        </w:tc>
        <w:tc>
          <w:tcPr>
            <w:tcW w:w="6662" w:type="dxa"/>
          </w:tcPr>
          <w:p w:rsidR="002F33B6" w:rsidRPr="003A3DE9" w:rsidRDefault="007D389F" w:rsidP="00690F29">
            <w:pPr>
              <w:spacing w:after="0"/>
              <w:rPr>
                <w:sz w:val="22"/>
              </w:rPr>
            </w:pPr>
            <w:r w:rsidRPr="003A3DE9">
              <w:rPr>
                <w:sz w:val="22"/>
              </w:rPr>
              <w:t>192,</w:t>
            </w:r>
            <w:r w:rsidR="002F33B6" w:rsidRPr="003A3DE9">
              <w:rPr>
                <w:sz w:val="22"/>
              </w:rPr>
              <w:t xml:space="preserve">91 </w:t>
            </w:r>
            <w:proofErr w:type="spellStart"/>
            <w:r w:rsidR="002F33B6" w:rsidRPr="003A3DE9">
              <w:rPr>
                <w:sz w:val="22"/>
              </w:rPr>
              <w:t>eur</w:t>
            </w:r>
            <w:proofErr w:type="spellEnd"/>
            <w:r w:rsidR="002F33B6" w:rsidRPr="003A3DE9">
              <w:rPr>
                <w:sz w:val="22"/>
              </w:rPr>
              <w:t xml:space="preserve"> kuus</w:t>
            </w:r>
          </w:p>
        </w:tc>
      </w:tr>
      <w:tr w:rsidR="002F33B6" w:rsidRPr="00E94610" w:rsidTr="001F5B51">
        <w:tc>
          <w:tcPr>
            <w:tcW w:w="2235" w:type="dxa"/>
          </w:tcPr>
          <w:p w:rsidR="002F33B6" w:rsidRPr="003A3DE9" w:rsidRDefault="002F33B6" w:rsidP="00690F29">
            <w:pPr>
              <w:spacing w:after="0"/>
              <w:rPr>
                <w:sz w:val="22"/>
              </w:rPr>
            </w:pPr>
            <w:r w:rsidRPr="003A3DE9">
              <w:rPr>
                <w:sz w:val="22"/>
              </w:rPr>
              <w:t>Hispaania</w:t>
            </w:r>
          </w:p>
        </w:tc>
        <w:tc>
          <w:tcPr>
            <w:tcW w:w="6662" w:type="dxa"/>
          </w:tcPr>
          <w:p w:rsidR="002F33B6" w:rsidRPr="003A3DE9" w:rsidRDefault="002F33B6" w:rsidP="00690F29">
            <w:pPr>
              <w:spacing w:before="100" w:beforeAutospacing="1" w:after="0" w:line="240" w:lineRule="auto"/>
              <w:ind w:left="49"/>
              <w:rPr>
                <w:sz w:val="22"/>
              </w:rPr>
            </w:pPr>
            <w:r w:rsidRPr="0033326E">
              <w:rPr>
                <w:rFonts w:eastAsia="Times New Roman"/>
                <w:sz w:val="22"/>
                <w:lang w:eastAsia="et-EE"/>
              </w:rPr>
              <w:t>6</w:t>
            </w:r>
            <w:r w:rsidR="007D389F" w:rsidRPr="003A3DE9">
              <w:rPr>
                <w:rFonts w:eastAsia="Times New Roman"/>
                <w:sz w:val="22"/>
                <w:lang w:eastAsia="et-EE"/>
              </w:rPr>
              <w:t>18,</w:t>
            </w:r>
            <w:r w:rsidRPr="0033326E">
              <w:rPr>
                <w:rFonts w:eastAsia="Times New Roman"/>
                <w:sz w:val="22"/>
                <w:lang w:eastAsia="et-EE"/>
              </w:rPr>
              <w:t xml:space="preserve">90 </w:t>
            </w:r>
            <w:proofErr w:type="spellStart"/>
            <w:r w:rsidRPr="003A3DE9">
              <w:rPr>
                <w:rFonts w:eastAsia="Times New Roman"/>
                <w:sz w:val="22"/>
                <w:lang w:eastAsia="et-EE"/>
              </w:rPr>
              <w:t>eur</w:t>
            </w:r>
            <w:proofErr w:type="spellEnd"/>
            <w:r w:rsidRPr="003A3DE9">
              <w:rPr>
                <w:rFonts w:eastAsia="Times New Roman"/>
                <w:sz w:val="22"/>
                <w:lang w:eastAsia="et-EE"/>
              </w:rPr>
              <w:t xml:space="preserve"> kuus üksikule ja </w:t>
            </w:r>
            <w:r w:rsidR="007D389F" w:rsidRPr="003A3DE9">
              <w:rPr>
                <w:rFonts w:eastAsia="Times New Roman"/>
                <w:sz w:val="22"/>
                <w:lang w:eastAsia="et-EE"/>
              </w:rPr>
              <w:t>763,</w:t>
            </w:r>
            <w:r w:rsidRPr="0033326E">
              <w:rPr>
                <w:rFonts w:eastAsia="Times New Roman"/>
                <w:sz w:val="22"/>
                <w:lang w:eastAsia="et-EE"/>
              </w:rPr>
              <w:t xml:space="preserve">60 </w:t>
            </w:r>
            <w:proofErr w:type="spellStart"/>
            <w:r w:rsidRPr="003A3DE9">
              <w:rPr>
                <w:rFonts w:eastAsia="Times New Roman"/>
                <w:sz w:val="22"/>
                <w:lang w:eastAsia="et-EE"/>
              </w:rPr>
              <w:t>eur</w:t>
            </w:r>
            <w:proofErr w:type="spellEnd"/>
            <w:r w:rsidRPr="003A3DE9">
              <w:rPr>
                <w:rFonts w:eastAsia="Times New Roman"/>
                <w:sz w:val="22"/>
                <w:lang w:eastAsia="et-EE"/>
              </w:rPr>
              <w:t xml:space="preserve"> kuus abielus inimesele </w:t>
            </w:r>
          </w:p>
        </w:tc>
      </w:tr>
      <w:tr w:rsidR="002F33B6" w:rsidRPr="00E94610" w:rsidTr="001F5B51">
        <w:tc>
          <w:tcPr>
            <w:tcW w:w="2235" w:type="dxa"/>
          </w:tcPr>
          <w:p w:rsidR="002F33B6" w:rsidRPr="003A3DE9" w:rsidRDefault="002F33B6" w:rsidP="00690F29">
            <w:pPr>
              <w:spacing w:after="0"/>
              <w:rPr>
                <w:sz w:val="22"/>
              </w:rPr>
            </w:pPr>
            <w:r w:rsidRPr="003A3DE9">
              <w:rPr>
                <w:sz w:val="22"/>
              </w:rPr>
              <w:t>Rootsi</w:t>
            </w:r>
          </w:p>
        </w:tc>
        <w:tc>
          <w:tcPr>
            <w:tcW w:w="6662" w:type="dxa"/>
          </w:tcPr>
          <w:p w:rsidR="002F33B6" w:rsidRPr="003A3DE9" w:rsidRDefault="007D389F" w:rsidP="007D389F">
            <w:pPr>
              <w:spacing w:after="0"/>
              <w:rPr>
                <w:sz w:val="22"/>
              </w:rPr>
            </w:pPr>
            <w:r w:rsidRPr="003A3DE9">
              <w:rPr>
                <w:sz w:val="22"/>
              </w:rPr>
              <w:t xml:space="preserve">SEK93 </w:t>
            </w:r>
            <w:r w:rsidR="002F33B6" w:rsidRPr="003A3DE9">
              <w:rPr>
                <w:sz w:val="22"/>
              </w:rPr>
              <w:t>720 (10</w:t>
            </w:r>
            <w:r w:rsidRPr="003A3DE9">
              <w:rPr>
                <w:sz w:val="22"/>
              </w:rPr>
              <w:t xml:space="preserve"> </w:t>
            </w:r>
            <w:r w:rsidR="002F33B6" w:rsidRPr="003A3DE9">
              <w:rPr>
                <w:sz w:val="22"/>
              </w:rPr>
              <w:t xml:space="preserve">755 </w:t>
            </w:r>
            <w:proofErr w:type="spellStart"/>
            <w:r w:rsidR="002F33B6" w:rsidRPr="003A3DE9">
              <w:rPr>
                <w:sz w:val="22"/>
              </w:rPr>
              <w:t>eur</w:t>
            </w:r>
            <w:proofErr w:type="spellEnd"/>
            <w:r w:rsidR="002F33B6" w:rsidRPr="003A3DE9">
              <w:rPr>
                <w:sz w:val="22"/>
              </w:rPr>
              <w:t xml:space="preserve">) aastas (896 </w:t>
            </w:r>
            <w:proofErr w:type="spellStart"/>
            <w:r w:rsidR="002F33B6" w:rsidRPr="003A3DE9">
              <w:rPr>
                <w:sz w:val="22"/>
              </w:rPr>
              <w:t>eur</w:t>
            </w:r>
            <w:proofErr w:type="spellEnd"/>
            <w:r w:rsidR="002F33B6" w:rsidRPr="003A3DE9">
              <w:rPr>
                <w:sz w:val="22"/>
              </w:rPr>
              <w:t xml:space="preserve"> kuus) üksikule ja SEK83</w:t>
            </w:r>
            <w:r w:rsidRPr="003A3DE9">
              <w:rPr>
                <w:sz w:val="22"/>
              </w:rPr>
              <w:t xml:space="preserve"> </w:t>
            </w:r>
            <w:r w:rsidR="002F33B6" w:rsidRPr="003A3DE9">
              <w:rPr>
                <w:sz w:val="22"/>
              </w:rPr>
              <w:t>600 (</w:t>
            </w:r>
            <w:r w:rsidRPr="003A3DE9">
              <w:rPr>
                <w:sz w:val="22"/>
              </w:rPr>
              <w:t xml:space="preserve">9 </w:t>
            </w:r>
            <w:r w:rsidR="002F33B6" w:rsidRPr="003A3DE9">
              <w:rPr>
                <w:sz w:val="22"/>
              </w:rPr>
              <w:t xml:space="preserve">593 </w:t>
            </w:r>
            <w:proofErr w:type="spellStart"/>
            <w:r w:rsidR="002F33B6" w:rsidRPr="003A3DE9">
              <w:rPr>
                <w:sz w:val="22"/>
              </w:rPr>
              <w:t>eur</w:t>
            </w:r>
            <w:proofErr w:type="spellEnd"/>
            <w:r w:rsidR="002F33B6" w:rsidRPr="003A3DE9">
              <w:rPr>
                <w:sz w:val="22"/>
              </w:rPr>
              <w:t xml:space="preserve">) aastas (799 </w:t>
            </w:r>
            <w:proofErr w:type="spellStart"/>
            <w:r w:rsidR="002F33B6" w:rsidRPr="003A3DE9">
              <w:rPr>
                <w:sz w:val="22"/>
              </w:rPr>
              <w:t>eur</w:t>
            </w:r>
            <w:proofErr w:type="spellEnd"/>
            <w:r w:rsidR="002F33B6" w:rsidRPr="003A3DE9">
              <w:rPr>
                <w:sz w:val="22"/>
              </w:rPr>
              <w:t xml:space="preserve"> kuus) abielus inimesele</w:t>
            </w:r>
          </w:p>
        </w:tc>
      </w:tr>
      <w:tr w:rsidR="002F33B6" w:rsidRPr="00E94610" w:rsidTr="001F5B51">
        <w:tc>
          <w:tcPr>
            <w:tcW w:w="2235" w:type="dxa"/>
          </w:tcPr>
          <w:p w:rsidR="002F33B6" w:rsidRPr="003A3DE9" w:rsidRDefault="002F33B6" w:rsidP="00690F29">
            <w:pPr>
              <w:spacing w:after="0"/>
              <w:rPr>
                <w:sz w:val="22"/>
              </w:rPr>
            </w:pPr>
            <w:r w:rsidRPr="003A3DE9">
              <w:rPr>
                <w:sz w:val="22"/>
              </w:rPr>
              <w:t>Holland</w:t>
            </w:r>
          </w:p>
        </w:tc>
        <w:tc>
          <w:tcPr>
            <w:tcW w:w="6662" w:type="dxa"/>
          </w:tcPr>
          <w:p w:rsidR="002F33B6" w:rsidRPr="003A3DE9" w:rsidRDefault="002F33B6" w:rsidP="00690F29">
            <w:pPr>
              <w:spacing w:after="0"/>
              <w:rPr>
                <w:sz w:val="22"/>
              </w:rPr>
            </w:pPr>
            <w:r w:rsidRPr="003A3DE9">
              <w:rPr>
                <w:sz w:val="22"/>
              </w:rPr>
              <w:t>Miinimumpensioni mõistet ei kasutata</w:t>
            </w:r>
          </w:p>
        </w:tc>
      </w:tr>
      <w:tr w:rsidR="002F33B6" w:rsidRPr="00E94610" w:rsidTr="001F5B51">
        <w:tc>
          <w:tcPr>
            <w:tcW w:w="2235" w:type="dxa"/>
          </w:tcPr>
          <w:p w:rsidR="002F33B6" w:rsidRPr="003A3DE9" w:rsidRDefault="002F33B6" w:rsidP="00690F29">
            <w:pPr>
              <w:spacing w:after="0"/>
              <w:rPr>
                <w:sz w:val="22"/>
              </w:rPr>
            </w:pPr>
            <w:r w:rsidRPr="003A3DE9">
              <w:rPr>
                <w:sz w:val="22"/>
              </w:rPr>
              <w:t>UK</w:t>
            </w:r>
          </w:p>
        </w:tc>
        <w:tc>
          <w:tcPr>
            <w:tcW w:w="6662" w:type="dxa"/>
          </w:tcPr>
          <w:p w:rsidR="002F33B6" w:rsidRPr="003A3DE9" w:rsidRDefault="002F33B6" w:rsidP="00690F29">
            <w:pPr>
              <w:spacing w:after="0"/>
              <w:rPr>
                <w:sz w:val="22"/>
              </w:rPr>
            </w:pPr>
            <w:r w:rsidRPr="003A3DE9">
              <w:rPr>
                <w:sz w:val="22"/>
              </w:rPr>
              <w:t>Maksuvaba (</w:t>
            </w:r>
            <w:proofErr w:type="spellStart"/>
            <w:r w:rsidRPr="003A3DE9">
              <w:rPr>
                <w:i/>
                <w:sz w:val="22"/>
              </w:rPr>
              <w:t>Tax</w:t>
            </w:r>
            <w:proofErr w:type="spellEnd"/>
            <w:r w:rsidRPr="003A3DE9">
              <w:rPr>
                <w:i/>
                <w:sz w:val="22"/>
              </w:rPr>
              <w:t xml:space="preserve"> </w:t>
            </w:r>
            <w:proofErr w:type="spellStart"/>
            <w:r w:rsidRPr="003A3DE9">
              <w:rPr>
                <w:i/>
                <w:sz w:val="22"/>
              </w:rPr>
              <w:t>credit</w:t>
            </w:r>
            <w:proofErr w:type="spellEnd"/>
            <w:r w:rsidRPr="003A3DE9">
              <w:rPr>
                <w:sz w:val="22"/>
              </w:rPr>
              <w:t>) miinimumpensioniga kõrvutatav väljamakse suurus madala sisetulekuga isikutele kuus on 627 EUR</w:t>
            </w:r>
          </w:p>
        </w:tc>
      </w:tr>
    </w:tbl>
    <w:p w:rsidR="00BC4B42" w:rsidRDefault="00255588" w:rsidP="00842D44">
      <w:pPr>
        <w:rPr>
          <w:sz w:val="20"/>
          <w:szCs w:val="20"/>
        </w:rPr>
      </w:pPr>
      <w:r w:rsidRPr="00C6031E">
        <w:rPr>
          <w:sz w:val="20"/>
          <w:szCs w:val="20"/>
        </w:rPr>
        <w:t xml:space="preserve">Allikas </w:t>
      </w:r>
      <w:proofErr w:type="spellStart"/>
      <w:r w:rsidR="00BC4B42" w:rsidRPr="00C6031E">
        <w:rPr>
          <w:sz w:val="20"/>
          <w:szCs w:val="20"/>
        </w:rPr>
        <w:t>The</w:t>
      </w:r>
      <w:proofErr w:type="spellEnd"/>
      <w:r w:rsidR="00BC4B42" w:rsidRPr="00C6031E">
        <w:rPr>
          <w:sz w:val="20"/>
          <w:szCs w:val="20"/>
        </w:rPr>
        <w:t xml:space="preserve"> </w:t>
      </w:r>
      <w:proofErr w:type="spellStart"/>
      <w:r w:rsidR="00BC4B42" w:rsidRPr="00C6031E">
        <w:rPr>
          <w:sz w:val="20"/>
          <w:szCs w:val="20"/>
        </w:rPr>
        <w:t>EU's</w:t>
      </w:r>
      <w:proofErr w:type="spellEnd"/>
      <w:r w:rsidR="00BC4B42" w:rsidRPr="00C6031E">
        <w:rPr>
          <w:sz w:val="20"/>
          <w:szCs w:val="20"/>
        </w:rPr>
        <w:t xml:space="preserve"> </w:t>
      </w:r>
      <w:proofErr w:type="spellStart"/>
      <w:r w:rsidR="00BC4B42" w:rsidRPr="00C6031E">
        <w:rPr>
          <w:sz w:val="20"/>
          <w:szCs w:val="20"/>
        </w:rPr>
        <w:t>Mutual</w:t>
      </w:r>
      <w:proofErr w:type="spellEnd"/>
      <w:r w:rsidR="00BC4B42" w:rsidRPr="00C6031E">
        <w:rPr>
          <w:sz w:val="20"/>
          <w:szCs w:val="20"/>
        </w:rPr>
        <w:t xml:space="preserve"> </w:t>
      </w:r>
      <w:proofErr w:type="spellStart"/>
      <w:r w:rsidR="00BC4B42" w:rsidRPr="00C6031E">
        <w:rPr>
          <w:sz w:val="20"/>
          <w:szCs w:val="20"/>
        </w:rPr>
        <w:t>Information</w:t>
      </w:r>
      <w:proofErr w:type="spellEnd"/>
      <w:r w:rsidR="00BC4B42" w:rsidRPr="00C6031E">
        <w:rPr>
          <w:sz w:val="20"/>
          <w:szCs w:val="20"/>
        </w:rPr>
        <w:t xml:space="preserve"> </w:t>
      </w:r>
      <w:proofErr w:type="spellStart"/>
      <w:r w:rsidR="00BC4B42" w:rsidRPr="00C6031E">
        <w:rPr>
          <w:sz w:val="20"/>
          <w:szCs w:val="20"/>
        </w:rPr>
        <w:t>System</w:t>
      </w:r>
      <w:proofErr w:type="spellEnd"/>
      <w:r w:rsidR="00BC4B42" w:rsidRPr="00C6031E">
        <w:rPr>
          <w:sz w:val="20"/>
          <w:szCs w:val="20"/>
        </w:rPr>
        <w:t xml:space="preserve"> on </w:t>
      </w:r>
      <w:proofErr w:type="spellStart"/>
      <w:r w:rsidR="00BC4B42" w:rsidRPr="00C6031E">
        <w:rPr>
          <w:sz w:val="20"/>
          <w:szCs w:val="20"/>
        </w:rPr>
        <w:t>Social</w:t>
      </w:r>
      <w:proofErr w:type="spellEnd"/>
      <w:r w:rsidR="00BC4B42" w:rsidRPr="00C6031E">
        <w:rPr>
          <w:sz w:val="20"/>
          <w:szCs w:val="20"/>
        </w:rPr>
        <w:t xml:space="preserve"> </w:t>
      </w:r>
      <w:proofErr w:type="spellStart"/>
      <w:r w:rsidR="00BC4B42" w:rsidRPr="00C6031E">
        <w:rPr>
          <w:sz w:val="20"/>
          <w:szCs w:val="20"/>
        </w:rPr>
        <w:t>Protection</w:t>
      </w:r>
      <w:proofErr w:type="spellEnd"/>
      <w:r w:rsidR="00BC4B42" w:rsidRPr="00C6031E">
        <w:rPr>
          <w:sz w:val="20"/>
          <w:szCs w:val="20"/>
        </w:rPr>
        <w:t xml:space="preserve"> (MISSOC) </w:t>
      </w:r>
      <w:hyperlink r:id="rId6" w:history="1">
        <w:r w:rsidR="00BC4B42" w:rsidRPr="00C6031E">
          <w:rPr>
            <w:rStyle w:val="Hperlink"/>
            <w:sz w:val="20"/>
            <w:szCs w:val="20"/>
          </w:rPr>
          <w:t>http://ec.europa.eu/employment_social/missoc/db/public/compareTables.do?lang=en</w:t>
        </w:r>
      </w:hyperlink>
    </w:p>
    <w:p w:rsidR="00FC391F" w:rsidRDefault="00FC391F" w:rsidP="00842D44">
      <w:pPr>
        <w:rPr>
          <w:szCs w:val="24"/>
        </w:rPr>
      </w:pPr>
    </w:p>
    <w:p w:rsidR="00FC391F" w:rsidRDefault="00FC391F" w:rsidP="00842D44">
      <w:pPr>
        <w:rPr>
          <w:szCs w:val="24"/>
        </w:rPr>
      </w:pPr>
    </w:p>
    <w:p w:rsidR="00940124" w:rsidRPr="000779E3" w:rsidRDefault="00940124" w:rsidP="00842D44">
      <w:pPr>
        <w:rPr>
          <w:szCs w:val="24"/>
        </w:rPr>
      </w:pPr>
      <w:r w:rsidRPr="000779E3">
        <w:rPr>
          <w:szCs w:val="24"/>
        </w:rPr>
        <w:lastRenderedPageBreak/>
        <w:t>Tabel 3. Miinimumpensionid suhtena keskmisesse palka 2011 (</w:t>
      </w:r>
      <w:proofErr w:type="spellStart"/>
      <w:r w:rsidRPr="000779E3">
        <w:rPr>
          <w:szCs w:val="24"/>
        </w:rPr>
        <w:t>eur</w:t>
      </w:r>
      <w:proofErr w:type="spellEnd"/>
      <w:r w:rsidRPr="000779E3">
        <w:rPr>
          <w:szCs w:val="24"/>
        </w:rPr>
        <w:t xml:space="preserve"> kuus)</w:t>
      </w:r>
    </w:p>
    <w:p w:rsidR="00501507" w:rsidRDefault="00AC12FA" w:rsidP="00103730">
      <w:pPr>
        <w:spacing w:after="0"/>
        <w:rPr>
          <w:sz w:val="20"/>
          <w:szCs w:val="20"/>
        </w:rPr>
      </w:pPr>
      <w:r w:rsidRPr="00AC12FA">
        <w:rPr>
          <w:noProof/>
          <w:sz w:val="20"/>
          <w:szCs w:val="20"/>
          <w:lang w:eastAsia="et-EE"/>
        </w:rPr>
        <w:drawing>
          <wp:inline distT="0" distB="0" distL="0" distR="0">
            <wp:extent cx="5762625" cy="5391150"/>
            <wp:effectExtent l="19050" t="0" r="9525"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4633" b="4952"/>
                    <a:stretch>
                      <a:fillRect/>
                    </a:stretch>
                  </pic:blipFill>
                  <pic:spPr bwMode="auto">
                    <a:xfrm>
                      <a:off x="0" y="0"/>
                      <a:ext cx="5762625" cy="5391150"/>
                    </a:xfrm>
                    <a:prstGeom prst="rect">
                      <a:avLst/>
                    </a:prstGeom>
                    <a:noFill/>
                    <a:ln w="9525">
                      <a:noFill/>
                      <a:miter lim="800000"/>
                      <a:headEnd/>
                      <a:tailEnd/>
                    </a:ln>
                  </pic:spPr>
                </pic:pic>
              </a:graphicData>
            </a:graphic>
          </wp:inline>
        </w:drawing>
      </w:r>
    </w:p>
    <w:p w:rsidR="0085683D" w:rsidRPr="00412527" w:rsidRDefault="0085683D" w:rsidP="002F0C13">
      <w:pPr>
        <w:rPr>
          <w:sz w:val="20"/>
          <w:szCs w:val="20"/>
        </w:rPr>
      </w:pPr>
      <w:r w:rsidRPr="00412527">
        <w:rPr>
          <w:sz w:val="20"/>
          <w:szCs w:val="20"/>
        </w:rPr>
        <w:t>Allikas:</w:t>
      </w:r>
      <w:r w:rsidR="00AB3DBD">
        <w:rPr>
          <w:sz w:val="20"/>
          <w:szCs w:val="20"/>
        </w:rPr>
        <w:t xml:space="preserve"> </w:t>
      </w:r>
      <w:r w:rsidR="002F0C13" w:rsidRPr="002F0C13">
        <w:rPr>
          <w:sz w:val="20"/>
          <w:szCs w:val="20"/>
        </w:rPr>
        <w:t xml:space="preserve">Pension </w:t>
      </w:r>
      <w:proofErr w:type="spellStart"/>
      <w:r w:rsidR="002F0C13" w:rsidRPr="002F0C13">
        <w:rPr>
          <w:sz w:val="20"/>
          <w:szCs w:val="20"/>
        </w:rPr>
        <w:t>systems</w:t>
      </w:r>
      <w:proofErr w:type="spellEnd"/>
      <w:r w:rsidR="002F0C13" w:rsidRPr="002F0C13">
        <w:rPr>
          <w:sz w:val="20"/>
          <w:szCs w:val="20"/>
        </w:rPr>
        <w:t xml:space="preserve"> </w:t>
      </w:r>
      <w:proofErr w:type="spellStart"/>
      <w:r w:rsidR="002F0C13" w:rsidRPr="002F0C13">
        <w:rPr>
          <w:sz w:val="20"/>
          <w:szCs w:val="20"/>
        </w:rPr>
        <w:t>in</w:t>
      </w:r>
      <w:proofErr w:type="spellEnd"/>
      <w:r w:rsidR="002F0C13" w:rsidRPr="002F0C13">
        <w:rPr>
          <w:sz w:val="20"/>
          <w:szCs w:val="20"/>
        </w:rPr>
        <w:t xml:space="preserve"> </w:t>
      </w:r>
      <w:proofErr w:type="spellStart"/>
      <w:r w:rsidR="002F0C13" w:rsidRPr="002F0C13">
        <w:rPr>
          <w:sz w:val="20"/>
          <w:szCs w:val="20"/>
        </w:rPr>
        <w:t>the</w:t>
      </w:r>
      <w:proofErr w:type="spellEnd"/>
      <w:r w:rsidR="002F0C13" w:rsidRPr="002F0C13">
        <w:rPr>
          <w:sz w:val="20"/>
          <w:szCs w:val="20"/>
        </w:rPr>
        <w:t xml:space="preserve"> EU – </w:t>
      </w:r>
      <w:proofErr w:type="spellStart"/>
      <w:r w:rsidR="002F0C13" w:rsidRPr="002F0C13">
        <w:rPr>
          <w:sz w:val="20"/>
          <w:szCs w:val="20"/>
        </w:rPr>
        <w:t>contingent</w:t>
      </w:r>
      <w:proofErr w:type="spellEnd"/>
      <w:r w:rsidR="002F0C13" w:rsidRPr="002F0C13">
        <w:rPr>
          <w:sz w:val="20"/>
          <w:szCs w:val="20"/>
        </w:rPr>
        <w:t xml:space="preserve"> </w:t>
      </w:r>
      <w:proofErr w:type="spellStart"/>
      <w:r w:rsidR="002F0C13" w:rsidRPr="002F0C13">
        <w:rPr>
          <w:sz w:val="20"/>
          <w:szCs w:val="20"/>
        </w:rPr>
        <w:t>liabilities</w:t>
      </w:r>
      <w:proofErr w:type="spellEnd"/>
      <w:r w:rsidR="002F0C13" w:rsidRPr="002F0C13">
        <w:rPr>
          <w:sz w:val="20"/>
          <w:szCs w:val="20"/>
        </w:rPr>
        <w:t xml:space="preserve"> and </w:t>
      </w:r>
      <w:proofErr w:type="spellStart"/>
      <w:r w:rsidR="002F0C13" w:rsidRPr="002F0C13">
        <w:rPr>
          <w:sz w:val="20"/>
          <w:szCs w:val="20"/>
        </w:rPr>
        <w:t>assets</w:t>
      </w:r>
      <w:proofErr w:type="spellEnd"/>
      <w:r w:rsidR="002F0C13" w:rsidRPr="002F0C13">
        <w:rPr>
          <w:sz w:val="20"/>
          <w:szCs w:val="20"/>
        </w:rPr>
        <w:t xml:space="preserve"> </w:t>
      </w:r>
      <w:proofErr w:type="spellStart"/>
      <w:r w:rsidR="002F0C13" w:rsidRPr="002F0C13">
        <w:rPr>
          <w:sz w:val="20"/>
          <w:szCs w:val="20"/>
        </w:rPr>
        <w:t>in</w:t>
      </w:r>
      <w:proofErr w:type="spellEnd"/>
      <w:r w:rsidR="002F0C13" w:rsidRPr="002F0C13">
        <w:rPr>
          <w:sz w:val="20"/>
          <w:szCs w:val="20"/>
        </w:rPr>
        <w:t xml:space="preserve"> </w:t>
      </w:r>
      <w:proofErr w:type="spellStart"/>
      <w:r w:rsidR="002F0C13" w:rsidRPr="002F0C13">
        <w:rPr>
          <w:sz w:val="20"/>
          <w:szCs w:val="20"/>
        </w:rPr>
        <w:t>the</w:t>
      </w:r>
      <w:proofErr w:type="spellEnd"/>
      <w:r w:rsidR="002F0C13" w:rsidRPr="002F0C13">
        <w:rPr>
          <w:sz w:val="20"/>
          <w:szCs w:val="20"/>
        </w:rPr>
        <w:t xml:space="preserve"> </w:t>
      </w:r>
      <w:proofErr w:type="spellStart"/>
      <w:r w:rsidR="002F0C13" w:rsidRPr="002F0C13">
        <w:rPr>
          <w:sz w:val="20"/>
          <w:szCs w:val="20"/>
        </w:rPr>
        <w:t>public</w:t>
      </w:r>
      <w:proofErr w:type="spellEnd"/>
      <w:r w:rsidR="002F0C13" w:rsidRPr="002F0C13">
        <w:rPr>
          <w:sz w:val="20"/>
          <w:szCs w:val="20"/>
        </w:rPr>
        <w:t xml:space="preserve"> and </w:t>
      </w:r>
      <w:proofErr w:type="spellStart"/>
      <w:r w:rsidR="002F0C13" w:rsidRPr="002F0C13">
        <w:rPr>
          <w:sz w:val="20"/>
          <w:szCs w:val="20"/>
        </w:rPr>
        <w:t>private</w:t>
      </w:r>
      <w:proofErr w:type="spellEnd"/>
      <w:r w:rsidR="002F0C13" w:rsidRPr="002F0C13">
        <w:rPr>
          <w:sz w:val="20"/>
          <w:szCs w:val="20"/>
        </w:rPr>
        <w:t xml:space="preserve"> </w:t>
      </w:r>
      <w:r w:rsidR="002F0C13">
        <w:rPr>
          <w:sz w:val="20"/>
          <w:szCs w:val="20"/>
        </w:rPr>
        <w:t xml:space="preserve">sektor </w:t>
      </w:r>
      <w:hyperlink r:id="rId8" w:history="1">
        <w:r w:rsidR="00AB3DBD" w:rsidRPr="00DA4B5F">
          <w:rPr>
            <w:rStyle w:val="Hperlink"/>
            <w:sz w:val="16"/>
            <w:szCs w:val="16"/>
          </w:rPr>
          <w:t>http://www.europarl.europa.eu/document/activities/cont/201111/20111121ATT32055/20111121ATT32055EN.pdf</w:t>
        </w:r>
      </w:hyperlink>
    </w:p>
    <w:p w:rsidR="009F4203" w:rsidRDefault="009F4203" w:rsidP="00CD19EB">
      <w:pPr>
        <w:jc w:val="both"/>
      </w:pPr>
    </w:p>
    <w:p w:rsidR="006E07D1" w:rsidRDefault="0009279B" w:rsidP="00CD19EB">
      <w:pPr>
        <w:jc w:val="both"/>
      </w:pPr>
      <w:r>
        <w:t xml:space="preserve">Järgnev tabel </w:t>
      </w:r>
      <w:r w:rsidR="00047198">
        <w:t xml:space="preserve">(tabel 4) </w:t>
      </w:r>
      <w:r>
        <w:t>sisaldab andmeid miinim</w:t>
      </w:r>
      <w:r w:rsidR="00047198">
        <w:t>um</w:t>
      </w:r>
      <w:r>
        <w:t>pensioni ja keskmise palga suuruse kohta ning pensioni asendusmäära suurust (%) võrrelduna 2/3 suuruse keskmise palga, 1,2-kordse keskmise palga ja kahekordse keskmise palgaga</w:t>
      </w:r>
      <w:r w:rsidR="000B6AA4">
        <w:t xml:space="preserve"> ning katkestatud töökarjääri korral</w:t>
      </w:r>
      <w:r w:rsidR="00047198">
        <w:t xml:space="preserve">. Tabelis 5 on </w:t>
      </w:r>
      <w:r w:rsidR="00000BD6">
        <w:t>asendusmäärad keskmise palgaga läbi korrutatud ja saadud võimalikud pensioni suurused juhtumiteks, kus eelnev palk oli 2/3 keskmisest palgast, 1,2-kordne keskmine palk, kahekordne keskmine ja kui võimalik, on välja toodud ka sel viisil arvutatud keskmine pension.</w:t>
      </w:r>
    </w:p>
    <w:p w:rsidR="006E07D1" w:rsidRDefault="006E07D1">
      <w:pPr>
        <w:spacing w:after="0" w:line="240" w:lineRule="auto"/>
      </w:pPr>
      <w:r>
        <w:br w:type="page"/>
      </w:r>
    </w:p>
    <w:p w:rsidR="00E718F7" w:rsidRDefault="00856F97" w:rsidP="00E718F7">
      <w:r>
        <w:lastRenderedPageBreak/>
        <w:t xml:space="preserve">Tabel 4. </w:t>
      </w:r>
      <w:r w:rsidR="00DE1F9F">
        <w:t>P</w:t>
      </w:r>
      <w:r w:rsidR="00E718F7">
        <w:t>ensioni asendusmäärad</w:t>
      </w:r>
    </w:p>
    <w:tbl>
      <w:tblPr>
        <w:tblW w:w="9468" w:type="dxa"/>
        <w:tblInd w:w="60" w:type="dxa"/>
        <w:tblCellMar>
          <w:left w:w="70" w:type="dxa"/>
          <w:right w:w="70" w:type="dxa"/>
        </w:tblCellMar>
        <w:tblLook w:val="04A0"/>
      </w:tblPr>
      <w:tblGrid>
        <w:gridCol w:w="1253"/>
        <w:gridCol w:w="1155"/>
        <w:gridCol w:w="1100"/>
        <w:gridCol w:w="1106"/>
        <w:gridCol w:w="1134"/>
        <w:gridCol w:w="1134"/>
        <w:gridCol w:w="1276"/>
        <w:gridCol w:w="1378"/>
      </w:tblGrid>
      <w:tr w:rsidR="006A522C" w:rsidRPr="007A2EDE" w:rsidTr="007F15E5">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22C" w:rsidRPr="007A2EDE" w:rsidRDefault="006A522C" w:rsidP="00690F29">
            <w:pPr>
              <w:spacing w:after="0" w:line="240" w:lineRule="auto"/>
              <w:rPr>
                <w:rFonts w:eastAsia="Times New Roman"/>
                <w:color w:val="000000"/>
                <w:sz w:val="22"/>
                <w:lang w:eastAsia="et-EE"/>
              </w:rPr>
            </w:pP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22C" w:rsidRPr="007A2EDE" w:rsidRDefault="006A522C" w:rsidP="00690F29">
            <w:pPr>
              <w:spacing w:after="0" w:line="240" w:lineRule="auto"/>
              <w:rPr>
                <w:rFonts w:eastAsia="Times New Roman"/>
                <w:color w:val="000000"/>
                <w:sz w:val="22"/>
                <w:lang w:eastAsia="et-EE"/>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22C" w:rsidRPr="007A2EDE" w:rsidRDefault="006A522C" w:rsidP="00690F29">
            <w:pPr>
              <w:spacing w:after="0" w:line="240" w:lineRule="auto"/>
              <w:rPr>
                <w:rFonts w:eastAsia="Times New Roman"/>
                <w:color w:val="000000"/>
                <w:sz w:val="22"/>
                <w:lang w:eastAsia="et-EE"/>
              </w:rPr>
            </w:pP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22C" w:rsidRPr="007A2EDE" w:rsidRDefault="006A522C" w:rsidP="00690F29">
            <w:pPr>
              <w:spacing w:after="0" w:line="240" w:lineRule="auto"/>
              <w:rPr>
                <w:rFonts w:eastAsia="Times New Roman"/>
                <w:color w:val="000000"/>
                <w:sz w:val="22"/>
                <w:lang w:eastAsia="et-EE"/>
              </w:rPr>
            </w:pPr>
            <w:r w:rsidRPr="007A2EDE">
              <w:rPr>
                <w:rFonts w:eastAsia="Times New Roman"/>
                <w:color w:val="000000"/>
                <w:sz w:val="22"/>
                <w:lang w:eastAsia="et-EE"/>
              </w:rPr>
              <w:t xml:space="preserve">                      Asendusmäär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09279B" w:rsidP="00690F29">
            <w:pPr>
              <w:spacing w:after="0" w:line="240" w:lineRule="auto"/>
              <w:rPr>
                <w:rFonts w:eastAsia="Times New Roman"/>
                <w:color w:val="000000"/>
                <w:sz w:val="22"/>
                <w:lang w:eastAsia="et-EE"/>
              </w:rPr>
            </w:pPr>
            <w:r w:rsidRPr="007A2EDE">
              <w:rPr>
                <w:color w:val="000000"/>
                <w:sz w:val="22"/>
              </w:rPr>
              <w:t>Miinimum-pension</w:t>
            </w:r>
            <w:r w:rsidR="006A522C">
              <w:rPr>
                <w:color w:val="000000"/>
                <w:sz w:val="22"/>
              </w:rPr>
              <w:t xml:space="preserve"> (</w:t>
            </w:r>
            <w:proofErr w:type="spellStart"/>
            <w:r w:rsidR="006A522C">
              <w:rPr>
                <w:color w:val="000000"/>
                <w:sz w:val="22"/>
              </w:rPr>
              <w:t>eur</w:t>
            </w:r>
            <w:proofErr w:type="spellEnd"/>
            <w:r w:rsidR="006A522C">
              <w:rPr>
                <w:color w:val="000000"/>
                <w:sz w:val="22"/>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6A522C" w:rsidP="000F6F46">
            <w:pPr>
              <w:spacing w:after="0" w:line="240" w:lineRule="auto"/>
              <w:rPr>
                <w:rFonts w:eastAsia="Times New Roman"/>
                <w:color w:val="000000"/>
                <w:sz w:val="22"/>
                <w:lang w:eastAsia="et-EE"/>
              </w:rPr>
            </w:pPr>
            <w:proofErr w:type="spellStart"/>
            <w:r>
              <w:rPr>
                <w:rFonts w:eastAsia="Times New Roman"/>
                <w:color w:val="000000"/>
                <w:sz w:val="22"/>
                <w:lang w:eastAsia="et-EE"/>
              </w:rPr>
              <w:t>K</w:t>
            </w:r>
            <w:r w:rsidR="00E718F7" w:rsidRPr="007A2EDE">
              <w:rPr>
                <w:rFonts w:eastAsia="Times New Roman"/>
                <w:color w:val="000000"/>
                <w:sz w:val="22"/>
                <w:lang w:eastAsia="et-EE"/>
              </w:rPr>
              <w:t>eskm</w:t>
            </w:r>
            <w:proofErr w:type="spellEnd"/>
            <w:r w:rsidR="00E718F7" w:rsidRPr="007A2EDE">
              <w:rPr>
                <w:rFonts w:eastAsia="Times New Roman"/>
                <w:color w:val="000000"/>
                <w:sz w:val="22"/>
                <w:lang w:eastAsia="et-EE"/>
              </w:rPr>
              <w:t xml:space="preserve">. </w:t>
            </w:r>
            <w:r w:rsidR="000F6F46">
              <w:rPr>
                <w:rFonts w:eastAsia="Times New Roman"/>
                <w:color w:val="000000"/>
                <w:sz w:val="22"/>
                <w:lang w:eastAsia="et-EE"/>
              </w:rPr>
              <w:t>p</w:t>
            </w:r>
            <w:r w:rsidR="00E718F7" w:rsidRPr="007A2EDE">
              <w:rPr>
                <w:rFonts w:eastAsia="Times New Roman"/>
                <w:color w:val="000000"/>
                <w:sz w:val="22"/>
                <w:lang w:eastAsia="et-EE"/>
              </w:rPr>
              <w:t>alk</w:t>
            </w:r>
            <w:r>
              <w:rPr>
                <w:rFonts w:eastAsia="Times New Roman"/>
                <w:color w:val="000000"/>
                <w:sz w:val="22"/>
                <w:lang w:eastAsia="et-EE"/>
              </w:rPr>
              <w:t xml:space="preserve"> (</w:t>
            </w:r>
            <w:proofErr w:type="spellStart"/>
            <w:r>
              <w:rPr>
                <w:rFonts w:eastAsia="Times New Roman"/>
                <w:color w:val="000000"/>
                <w:sz w:val="22"/>
                <w:lang w:eastAsia="et-EE"/>
              </w:rPr>
              <w:t>eur</w:t>
            </w:r>
            <w:proofErr w:type="spellEnd"/>
            <w:r>
              <w:rPr>
                <w:rFonts w:eastAsia="Times New Roman"/>
                <w:color w:val="000000"/>
                <w:sz w:val="22"/>
                <w:lang w:eastAsia="et-EE"/>
              </w:rPr>
              <w:t>)</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xml:space="preserve">2/3 </w:t>
            </w:r>
            <w:r w:rsidR="000F6F46">
              <w:rPr>
                <w:rFonts w:eastAsia="Times New Roman"/>
                <w:color w:val="000000"/>
                <w:sz w:val="22"/>
                <w:lang w:eastAsia="et-EE"/>
              </w:rPr>
              <w:t xml:space="preserve">keskmisest </w:t>
            </w:r>
            <w:r w:rsidRPr="007A2EDE">
              <w:rPr>
                <w:rFonts w:eastAsia="Times New Roman"/>
                <w:color w:val="000000"/>
                <w:sz w:val="22"/>
                <w:lang w:eastAsia="et-EE"/>
              </w:rPr>
              <w:t>palgast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xml:space="preserve">120% </w:t>
            </w:r>
            <w:r w:rsidR="000F6F46">
              <w:rPr>
                <w:rFonts w:eastAsia="Times New Roman"/>
                <w:color w:val="000000"/>
                <w:sz w:val="22"/>
                <w:lang w:eastAsia="et-EE"/>
              </w:rPr>
              <w:t xml:space="preserve">keskmisest </w:t>
            </w:r>
            <w:r w:rsidRPr="007A2EDE">
              <w:rPr>
                <w:rFonts w:eastAsia="Times New Roman"/>
                <w:color w:val="000000"/>
                <w:sz w:val="22"/>
                <w:lang w:eastAsia="et-EE"/>
              </w:rPr>
              <w:t>palgast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2 x</w:t>
            </w:r>
            <w:r w:rsidR="000F6F46">
              <w:rPr>
                <w:rFonts w:eastAsia="Times New Roman"/>
                <w:color w:val="000000"/>
                <w:sz w:val="22"/>
                <w:lang w:eastAsia="et-EE"/>
              </w:rPr>
              <w:t xml:space="preserve"> keskmine</w:t>
            </w:r>
            <w:r w:rsidRPr="007A2EDE">
              <w:rPr>
                <w:rFonts w:eastAsia="Times New Roman"/>
                <w:color w:val="000000"/>
                <w:sz w:val="22"/>
                <w:lang w:eastAsia="et-EE"/>
              </w:rPr>
              <w:t xml:space="preserve"> palk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Katk</w:t>
            </w:r>
            <w:r w:rsidR="000E619F">
              <w:rPr>
                <w:rFonts w:eastAsia="Times New Roman"/>
                <w:color w:val="000000"/>
                <w:sz w:val="22"/>
                <w:lang w:eastAsia="et-EE"/>
              </w:rPr>
              <w:t>estatud</w:t>
            </w:r>
            <w:r w:rsidRPr="007A2EDE">
              <w:rPr>
                <w:rFonts w:eastAsia="Times New Roman"/>
                <w:color w:val="000000"/>
                <w:sz w:val="22"/>
                <w:lang w:eastAsia="et-EE"/>
              </w:rPr>
              <w:t xml:space="preserve"> staaž</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19F" w:rsidRDefault="000E619F" w:rsidP="00690F29">
            <w:pPr>
              <w:spacing w:after="0" w:line="240" w:lineRule="auto"/>
              <w:rPr>
                <w:rFonts w:eastAsia="Times New Roman"/>
                <w:color w:val="000000"/>
                <w:sz w:val="22"/>
                <w:lang w:eastAsia="et-EE"/>
              </w:rPr>
            </w:pPr>
            <w:r>
              <w:rPr>
                <w:rFonts w:eastAsia="Times New Roman"/>
                <w:color w:val="000000"/>
                <w:sz w:val="22"/>
                <w:lang w:eastAsia="et-EE"/>
              </w:rPr>
              <w:t xml:space="preserve">Keskmine </w:t>
            </w:r>
            <w:r w:rsidR="00E718F7" w:rsidRPr="007A2EDE">
              <w:rPr>
                <w:rFonts w:eastAsia="Times New Roman"/>
                <w:color w:val="000000"/>
                <w:sz w:val="22"/>
                <w:lang w:eastAsia="et-EE"/>
              </w:rPr>
              <w:t>pens</w:t>
            </w:r>
            <w:r>
              <w:rPr>
                <w:rFonts w:eastAsia="Times New Roman"/>
                <w:color w:val="000000"/>
                <w:sz w:val="22"/>
                <w:lang w:eastAsia="et-EE"/>
              </w:rPr>
              <w:t>ion</w:t>
            </w:r>
            <w:r w:rsidR="00E718F7" w:rsidRPr="007A2EDE">
              <w:rPr>
                <w:rFonts w:eastAsia="Times New Roman"/>
                <w:color w:val="000000"/>
                <w:sz w:val="22"/>
                <w:lang w:eastAsia="et-EE"/>
              </w:rPr>
              <w:t>/</w:t>
            </w:r>
          </w:p>
          <w:p w:rsidR="00E718F7" w:rsidRPr="007A2EDE" w:rsidRDefault="000E619F" w:rsidP="00690F29">
            <w:pPr>
              <w:spacing w:after="0" w:line="240" w:lineRule="auto"/>
              <w:rPr>
                <w:rFonts w:eastAsia="Times New Roman"/>
                <w:color w:val="000000"/>
                <w:sz w:val="22"/>
                <w:lang w:eastAsia="et-EE"/>
              </w:rPr>
            </w:pPr>
            <w:r>
              <w:rPr>
                <w:rFonts w:eastAsia="Times New Roman"/>
                <w:color w:val="000000"/>
                <w:sz w:val="22"/>
                <w:lang w:eastAsia="et-EE"/>
              </w:rPr>
              <w:t xml:space="preserve">keskmine </w:t>
            </w:r>
            <w:r w:rsidR="00E718F7" w:rsidRPr="007A2EDE">
              <w:rPr>
                <w:rFonts w:eastAsia="Times New Roman"/>
                <w:color w:val="000000"/>
                <w:sz w:val="22"/>
                <w:lang w:eastAsia="et-EE"/>
              </w:rPr>
              <w:t>palk</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Belgia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886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3308</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76</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Bulgaaria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219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Tsehhi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905</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Taani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1610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4020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Saksamaa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702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3450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51</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Eesti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128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836</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Kreeka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846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1992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61</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Hispaania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685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1933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Prantsusmaa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628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2725</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76</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Iirimaa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1076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3408</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60</w:t>
            </w:r>
          </w:p>
        </w:tc>
      </w:tr>
      <w:tr w:rsidR="000F6F46"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Itaalia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499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2192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54</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Küpros</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348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1776</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25</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Läti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676</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Leedu</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530</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33 (</w:t>
            </w:r>
            <w:proofErr w:type="spellStart"/>
            <w:r w:rsidRPr="007A2EDE">
              <w:rPr>
                <w:rFonts w:eastAsia="Times New Roman"/>
                <w:color w:val="000000"/>
                <w:sz w:val="22"/>
                <w:lang w:eastAsia="et-EE"/>
              </w:rPr>
              <w:t>brt</w:t>
            </w:r>
            <w:proofErr w:type="spellEnd"/>
            <w:r w:rsidRPr="007A2EDE">
              <w:rPr>
                <w:rFonts w:eastAsia="Times New Roman"/>
                <w:color w:val="000000"/>
                <w:sz w:val="22"/>
                <w:lang w:eastAsia="et-EE"/>
              </w:rPr>
              <w:t>) 47 (net)</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Luksemburg</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1436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4033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Ungari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99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677</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Malta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474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1307</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49</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67</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Holland</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1066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3625</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37</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Austria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784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3233</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Poola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172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684</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65</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Portugal</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232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1342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Rumeenia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81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402</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Sloveenia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178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1317</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Slovakkia</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725</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 </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Soome</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558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3108</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48 (</w:t>
            </w:r>
            <w:proofErr w:type="spellStart"/>
            <w:r w:rsidRPr="007A2EDE">
              <w:rPr>
                <w:rFonts w:eastAsia="Times New Roman"/>
                <w:color w:val="000000"/>
                <w:sz w:val="22"/>
                <w:lang w:eastAsia="et-EE"/>
              </w:rPr>
              <w:t>brt</w:t>
            </w:r>
            <w:proofErr w:type="spellEnd"/>
            <w:r w:rsidRPr="007A2EDE">
              <w:rPr>
                <w:rFonts w:eastAsia="Times New Roman"/>
                <w:color w:val="000000"/>
                <w:sz w:val="22"/>
                <w:lang w:eastAsia="et-EE"/>
              </w:rPr>
              <w:t>) 54 (net)</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Rootsi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498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3059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60</w:t>
            </w:r>
          </w:p>
        </w:tc>
      </w:tr>
      <w:tr w:rsidR="00E718F7" w:rsidRPr="007A2EDE" w:rsidTr="000E619F">
        <w:trPr>
          <w:trHeight w:val="288"/>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UK</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627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3267</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jc w:val="right"/>
              <w:rPr>
                <w:rFonts w:eastAsia="Times New Roman"/>
                <w:color w:val="000000"/>
                <w:sz w:val="22"/>
                <w:lang w:eastAsia="et-EE"/>
              </w:rPr>
            </w:pPr>
            <w:r w:rsidRPr="007A2EDE">
              <w:rPr>
                <w:rFonts w:eastAsia="Times New Roman"/>
                <w:color w:val="000000"/>
                <w:sz w:val="22"/>
                <w:lang w:eastAsia="et-EE"/>
              </w:rPr>
              <w:t>50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8F7" w:rsidRPr="007A2EDE" w:rsidRDefault="00E718F7" w:rsidP="00690F29">
            <w:pPr>
              <w:spacing w:after="0" w:line="240" w:lineRule="auto"/>
              <w:rPr>
                <w:rFonts w:eastAsia="Times New Roman"/>
                <w:color w:val="000000"/>
                <w:sz w:val="22"/>
                <w:lang w:eastAsia="et-EE"/>
              </w:rPr>
            </w:pPr>
            <w:r w:rsidRPr="007A2EDE">
              <w:rPr>
                <w:rFonts w:eastAsia="Times New Roman"/>
                <w:color w:val="000000"/>
                <w:sz w:val="22"/>
                <w:lang w:eastAsia="et-EE"/>
              </w:rPr>
              <w:t xml:space="preserve"> 36 (</w:t>
            </w:r>
            <w:proofErr w:type="spellStart"/>
            <w:r w:rsidRPr="007A2EDE">
              <w:rPr>
                <w:rFonts w:eastAsia="Times New Roman"/>
                <w:color w:val="000000"/>
                <w:sz w:val="22"/>
                <w:lang w:eastAsia="et-EE"/>
              </w:rPr>
              <w:t>brt</w:t>
            </w:r>
            <w:proofErr w:type="spellEnd"/>
            <w:r w:rsidRPr="007A2EDE">
              <w:rPr>
                <w:rFonts w:eastAsia="Times New Roman"/>
                <w:color w:val="000000"/>
                <w:sz w:val="22"/>
                <w:lang w:eastAsia="et-EE"/>
              </w:rPr>
              <w:t>) ca 75 % hõivest</w:t>
            </w:r>
          </w:p>
        </w:tc>
      </w:tr>
    </w:tbl>
    <w:p w:rsidR="006E7C08" w:rsidRPr="006E7C08" w:rsidRDefault="006E7C08" w:rsidP="006E7C08">
      <w:pPr>
        <w:spacing w:after="0"/>
        <w:rPr>
          <w:rFonts w:eastAsiaTheme="minorHAnsi"/>
          <w:sz w:val="20"/>
          <w:szCs w:val="20"/>
        </w:rPr>
      </w:pPr>
      <w:r w:rsidRPr="006E7C08">
        <w:rPr>
          <w:color w:val="000000"/>
          <w:sz w:val="20"/>
          <w:szCs w:val="20"/>
        </w:rPr>
        <w:t xml:space="preserve">Allikas: </w:t>
      </w:r>
      <w:proofErr w:type="spellStart"/>
      <w:r w:rsidRPr="006E7C08">
        <w:rPr>
          <w:color w:val="000000"/>
          <w:sz w:val="20"/>
          <w:szCs w:val="20"/>
        </w:rPr>
        <w:t>Current</w:t>
      </w:r>
      <w:proofErr w:type="spellEnd"/>
      <w:r w:rsidRPr="006E7C08">
        <w:rPr>
          <w:color w:val="000000"/>
          <w:sz w:val="20"/>
          <w:szCs w:val="20"/>
        </w:rPr>
        <w:t xml:space="preserve"> </w:t>
      </w:r>
      <w:proofErr w:type="spellStart"/>
      <w:r w:rsidRPr="006E7C08">
        <w:rPr>
          <w:color w:val="000000"/>
          <w:sz w:val="20"/>
          <w:szCs w:val="20"/>
        </w:rPr>
        <w:t>prospective</w:t>
      </w:r>
      <w:proofErr w:type="spellEnd"/>
      <w:r w:rsidRPr="006E7C08">
        <w:rPr>
          <w:color w:val="000000"/>
          <w:sz w:val="20"/>
          <w:szCs w:val="20"/>
        </w:rPr>
        <w:t xml:space="preserve"> of pension </w:t>
      </w:r>
      <w:proofErr w:type="spellStart"/>
      <w:r w:rsidRPr="006E7C08">
        <w:rPr>
          <w:color w:val="000000"/>
          <w:sz w:val="20"/>
          <w:szCs w:val="20"/>
        </w:rPr>
        <w:t>replacement</w:t>
      </w:r>
      <w:proofErr w:type="spellEnd"/>
      <w:r w:rsidRPr="006E7C08">
        <w:rPr>
          <w:color w:val="000000"/>
          <w:sz w:val="20"/>
          <w:szCs w:val="20"/>
        </w:rPr>
        <w:t xml:space="preserve"> </w:t>
      </w:r>
      <w:proofErr w:type="spellStart"/>
      <w:r w:rsidRPr="006E7C08">
        <w:rPr>
          <w:color w:val="000000"/>
          <w:sz w:val="20"/>
          <w:szCs w:val="20"/>
        </w:rPr>
        <w:t>rates</w:t>
      </w:r>
      <w:proofErr w:type="spellEnd"/>
      <w:r w:rsidRPr="006E7C08">
        <w:rPr>
          <w:color w:val="000000"/>
          <w:sz w:val="20"/>
          <w:szCs w:val="20"/>
        </w:rPr>
        <w:t xml:space="preserve">, </w:t>
      </w:r>
      <w:proofErr w:type="spellStart"/>
      <w:r w:rsidRPr="006E7C08">
        <w:rPr>
          <w:color w:val="000000"/>
          <w:sz w:val="20"/>
          <w:szCs w:val="20"/>
        </w:rPr>
        <w:t>Commission</w:t>
      </w:r>
      <w:proofErr w:type="spellEnd"/>
      <w:r w:rsidRPr="006E7C08">
        <w:rPr>
          <w:color w:val="000000"/>
          <w:sz w:val="20"/>
          <w:szCs w:val="20"/>
        </w:rPr>
        <w:t xml:space="preserve"> </w:t>
      </w:r>
      <w:proofErr w:type="spellStart"/>
      <w:r w:rsidRPr="006E7C08">
        <w:rPr>
          <w:color w:val="000000"/>
          <w:sz w:val="20"/>
          <w:szCs w:val="20"/>
        </w:rPr>
        <w:t>Social</w:t>
      </w:r>
      <w:proofErr w:type="spellEnd"/>
      <w:r w:rsidRPr="006E7C08">
        <w:rPr>
          <w:color w:val="000000"/>
          <w:sz w:val="20"/>
          <w:szCs w:val="20"/>
        </w:rPr>
        <w:t xml:space="preserve"> </w:t>
      </w:r>
      <w:proofErr w:type="spellStart"/>
      <w:r w:rsidRPr="006E7C08">
        <w:rPr>
          <w:color w:val="000000"/>
          <w:sz w:val="20"/>
          <w:szCs w:val="20"/>
        </w:rPr>
        <w:t>Protection</w:t>
      </w:r>
      <w:proofErr w:type="spellEnd"/>
      <w:r w:rsidRPr="006E7C08">
        <w:rPr>
          <w:color w:val="000000"/>
          <w:sz w:val="20"/>
          <w:szCs w:val="20"/>
        </w:rPr>
        <w:t xml:space="preserve"> </w:t>
      </w:r>
      <w:proofErr w:type="spellStart"/>
      <w:r w:rsidRPr="006E7C08">
        <w:rPr>
          <w:color w:val="000000"/>
          <w:sz w:val="20"/>
          <w:szCs w:val="20"/>
        </w:rPr>
        <w:t>Committee</w:t>
      </w:r>
      <w:proofErr w:type="spellEnd"/>
    </w:p>
    <w:p w:rsidR="006E7C08" w:rsidRPr="006E7C08" w:rsidRDefault="00112BE0" w:rsidP="006E7C08">
      <w:pPr>
        <w:rPr>
          <w:sz w:val="20"/>
          <w:szCs w:val="20"/>
        </w:rPr>
      </w:pPr>
      <w:hyperlink r:id="rId9" w:history="1">
        <w:r w:rsidR="006E7C08" w:rsidRPr="00301F76">
          <w:rPr>
            <w:rStyle w:val="Hperlink"/>
            <w:sz w:val="20"/>
            <w:szCs w:val="20"/>
          </w:rPr>
          <w:t>http://ec.europa.eu/employment_social/social_protection/docs/isg_repl_rates_en.pdf</w:t>
        </w:r>
      </w:hyperlink>
      <w:r w:rsidR="006E7C08">
        <w:rPr>
          <w:sz w:val="20"/>
          <w:szCs w:val="20"/>
        </w:rPr>
        <w:t xml:space="preserve"> </w:t>
      </w:r>
    </w:p>
    <w:p w:rsidR="00013D30" w:rsidRDefault="00013D30">
      <w:pPr>
        <w:spacing w:after="0" w:line="240" w:lineRule="auto"/>
        <w:rPr>
          <w:szCs w:val="24"/>
        </w:rPr>
      </w:pPr>
      <w:r>
        <w:rPr>
          <w:szCs w:val="24"/>
        </w:rPr>
        <w:br w:type="page"/>
      </w:r>
    </w:p>
    <w:p w:rsidR="00E718F7" w:rsidRPr="00B36AD0" w:rsidRDefault="00E718F7" w:rsidP="00E718F7">
      <w:pPr>
        <w:rPr>
          <w:szCs w:val="24"/>
        </w:rPr>
      </w:pPr>
    </w:p>
    <w:p w:rsidR="00C96A16" w:rsidRPr="00B36AD0" w:rsidRDefault="00C96A16" w:rsidP="00E718F7">
      <w:pPr>
        <w:rPr>
          <w:szCs w:val="24"/>
        </w:rPr>
      </w:pPr>
      <w:r w:rsidRPr="00B36AD0">
        <w:rPr>
          <w:szCs w:val="24"/>
        </w:rPr>
        <w:t xml:space="preserve">Tabel 5. </w:t>
      </w:r>
      <w:r w:rsidR="001315A2" w:rsidRPr="00B36AD0">
        <w:rPr>
          <w:szCs w:val="24"/>
        </w:rPr>
        <w:t>EL Keskmised arvutuslikud pensionid (sõltuvalt keskmisest palgast)</w:t>
      </w:r>
    </w:p>
    <w:tbl>
      <w:tblPr>
        <w:tblW w:w="9438" w:type="dxa"/>
        <w:tblInd w:w="-12" w:type="dxa"/>
        <w:tblCellMar>
          <w:left w:w="0" w:type="dxa"/>
          <w:right w:w="0" w:type="dxa"/>
        </w:tblCellMar>
        <w:tblLook w:val="04A0"/>
      </w:tblPr>
      <w:tblGrid>
        <w:gridCol w:w="1354"/>
        <w:gridCol w:w="1705"/>
        <w:gridCol w:w="1260"/>
        <w:gridCol w:w="1292"/>
        <w:gridCol w:w="1559"/>
        <w:gridCol w:w="1191"/>
        <w:gridCol w:w="1134"/>
      </w:tblGrid>
      <w:tr w:rsidR="000C4B48"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7A2EDE" w:rsidRDefault="000C4B48" w:rsidP="000A79B5">
            <w:pPr>
              <w:spacing w:after="0"/>
              <w:rPr>
                <w:rFonts w:eastAsiaTheme="minorEastAsia"/>
                <w:sz w:val="22"/>
              </w:rPr>
            </w:pP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7A2EDE" w:rsidRDefault="000C4B48" w:rsidP="000A79B5">
            <w:pPr>
              <w:spacing w:after="0"/>
              <w:jc w:val="right"/>
              <w:rPr>
                <w:rFonts w:eastAsiaTheme="minorHAnsi"/>
                <w:color w:val="000000"/>
                <w:sz w:val="22"/>
              </w:rPr>
            </w:pPr>
            <w:r w:rsidRPr="007A2EDE">
              <w:rPr>
                <w:color w:val="000000"/>
                <w:sz w:val="22"/>
              </w:rPr>
              <w:t>Miinimum-pension</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7A2EDE" w:rsidRDefault="000C4B48" w:rsidP="00690F29">
            <w:pPr>
              <w:spacing w:after="0" w:line="240" w:lineRule="auto"/>
              <w:rPr>
                <w:rFonts w:eastAsia="Times New Roman"/>
                <w:color w:val="000000"/>
                <w:sz w:val="22"/>
                <w:lang w:eastAsia="et-EE"/>
              </w:rPr>
            </w:pPr>
            <w:r w:rsidRPr="007A2EDE">
              <w:rPr>
                <w:rFonts w:eastAsia="Times New Roman"/>
                <w:color w:val="000000"/>
                <w:sz w:val="22"/>
                <w:lang w:eastAsia="et-EE"/>
              </w:rPr>
              <w:t xml:space="preserve">2/3 </w:t>
            </w:r>
            <w:r>
              <w:rPr>
                <w:rFonts w:eastAsia="Times New Roman"/>
                <w:color w:val="000000"/>
                <w:sz w:val="22"/>
                <w:lang w:eastAsia="et-EE"/>
              </w:rPr>
              <w:t xml:space="preserve">keskmisest </w:t>
            </w:r>
            <w:r w:rsidRPr="007A2EDE">
              <w:rPr>
                <w:rFonts w:eastAsia="Times New Roman"/>
                <w:color w:val="000000"/>
                <w:sz w:val="22"/>
                <w:lang w:eastAsia="et-EE"/>
              </w:rPr>
              <w:t>palgast</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7A2EDE" w:rsidRDefault="000C4B48" w:rsidP="00690F29">
            <w:pPr>
              <w:spacing w:after="0" w:line="240" w:lineRule="auto"/>
              <w:rPr>
                <w:rFonts w:eastAsia="Times New Roman"/>
                <w:color w:val="000000"/>
                <w:sz w:val="22"/>
                <w:lang w:eastAsia="et-EE"/>
              </w:rPr>
            </w:pPr>
            <w:r w:rsidRPr="007A2EDE">
              <w:rPr>
                <w:rFonts w:eastAsia="Times New Roman"/>
                <w:color w:val="000000"/>
                <w:sz w:val="22"/>
                <w:lang w:eastAsia="et-EE"/>
              </w:rPr>
              <w:t xml:space="preserve">120% </w:t>
            </w:r>
            <w:r>
              <w:rPr>
                <w:rFonts w:eastAsia="Times New Roman"/>
                <w:color w:val="000000"/>
                <w:sz w:val="22"/>
                <w:lang w:eastAsia="et-EE"/>
              </w:rPr>
              <w:t xml:space="preserve">keskmisest </w:t>
            </w:r>
            <w:r w:rsidRPr="007A2EDE">
              <w:rPr>
                <w:rFonts w:eastAsia="Times New Roman"/>
                <w:color w:val="000000"/>
                <w:sz w:val="22"/>
                <w:lang w:eastAsia="et-EE"/>
              </w:rPr>
              <w:t>palgast</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7A2EDE" w:rsidRDefault="000C4B48" w:rsidP="00690F29">
            <w:pPr>
              <w:spacing w:after="0" w:line="240" w:lineRule="auto"/>
              <w:rPr>
                <w:rFonts w:eastAsia="Times New Roman"/>
                <w:color w:val="000000"/>
                <w:sz w:val="22"/>
                <w:lang w:eastAsia="et-EE"/>
              </w:rPr>
            </w:pPr>
            <w:r w:rsidRPr="007A2EDE">
              <w:rPr>
                <w:rFonts w:eastAsia="Times New Roman"/>
                <w:color w:val="000000"/>
                <w:sz w:val="22"/>
                <w:lang w:eastAsia="et-EE"/>
              </w:rPr>
              <w:t>2 x</w:t>
            </w:r>
            <w:r>
              <w:rPr>
                <w:rFonts w:eastAsia="Times New Roman"/>
                <w:color w:val="000000"/>
                <w:sz w:val="22"/>
                <w:lang w:eastAsia="et-EE"/>
              </w:rPr>
              <w:t xml:space="preserve"> keskmine</w:t>
            </w:r>
            <w:r w:rsidRPr="007A2EDE">
              <w:rPr>
                <w:rFonts w:eastAsia="Times New Roman"/>
                <w:color w:val="000000"/>
                <w:sz w:val="22"/>
                <w:lang w:eastAsia="et-EE"/>
              </w:rPr>
              <w:t xml:space="preserve"> palk</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7A2EDE" w:rsidRDefault="000C4B48" w:rsidP="00690F29">
            <w:pPr>
              <w:spacing w:after="0" w:line="240" w:lineRule="auto"/>
              <w:rPr>
                <w:rFonts w:eastAsia="Times New Roman"/>
                <w:color w:val="000000"/>
                <w:sz w:val="22"/>
                <w:lang w:eastAsia="et-EE"/>
              </w:rPr>
            </w:pPr>
            <w:r w:rsidRPr="007A2EDE">
              <w:rPr>
                <w:rFonts w:eastAsia="Times New Roman"/>
                <w:color w:val="000000"/>
                <w:sz w:val="22"/>
                <w:lang w:eastAsia="et-EE"/>
              </w:rPr>
              <w:t>Katk</w:t>
            </w:r>
            <w:r>
              <w:rPr>
                <w:rFonts w:eastAsia="Times New Roman"/>
                <w:color w:val="000000"/>
                <w:sz w:val="22"/>
                <w:lang w:eastAsia="et-EE"/>
              </w:rPr>
              <w:t>estatud</w:t>
            </w:r>
            <w:r w:rsidRPr="007A2EDE">
              <w:rPr>
                <w:rFonts w:eastAsia="Times New Roman"/>
                <w:color w:val="000000"/>
                <w:sz w:val="22"/>
                <w:lang w:eastAsia="et-EE"/>
              </w:rPr>
              <w:t xml:space="preserve"> staaž</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C4B48" w:rsidRPr="00255804" w:rsidRDefault="000C4B48" w:rsidP="000A79B5">
            <w:pPr>
              <w:spacing w:after="0"/>
              <w:jc w:val="right"/>
              <w:rPr>
                <w:rFonts w:eastAsiaTheme="minorHAnsi"/>
                <w:b/>
                <w:color w:val="000000"/>
                <w:sz w:val="22"/>
              </w:rPr>
            </w:pPr>
            <w:r w:rsidRPr="00255804">
              <w:rPr>
                <w:b/>
                <w:color w:val="000000"/>
                <w:sz w:val="22"/>
              </w:rPr>
              <w:t>Keskmine pension</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Belgia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886</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970</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1469</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2183</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992</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2514</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Bulgaaria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70</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Tsehhi</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86</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477</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576</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634</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453</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Taani</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1610</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1903</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1978</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2090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1889</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Saksamaa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702</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989</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1490</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2208</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1173</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1760</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Eesti</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128</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262</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281</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301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226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Kreeka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846</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1448</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2438</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3586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1614</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1215</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Hispaania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685</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1160</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1972</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2745</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1566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Prantsusmaa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628</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1199</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1929</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2616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1390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2071</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Iirimaa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1076</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1522</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2740</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4567</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1977</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2045</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Itaalia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499</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1154</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2025</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3200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1184</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Küpros</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348</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604</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874</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1456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746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444</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Läti</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Leedu</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Luksemburg</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1436</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2635</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3630</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5243</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2137</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Ungari</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99</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307</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471</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691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379</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Malta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474</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627</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1129</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1281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640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876</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Holland</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1066</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1716</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3089</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5148</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2211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1341</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Austria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784</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1379</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2522</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3750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1552</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Poola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172</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287</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492</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807</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383</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445</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Portugal</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232</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Rumeenia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81</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Sloveenia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178</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562</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1011</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1686</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593</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Slovakkia</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EastAsia"/>
                <w:sz w:val="22"/>
              </w:rPr>
            </w:pP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285</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392</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624</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268</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Soome</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558</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1347</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2051</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3294</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1430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Rootsi</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498</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1570</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2276</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4221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1927</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jc w:val="right"/>
              <w:rPr>
                <w:rFonts w:eastAsiaTheme="minorHAnsi"/>
                <w:b/>
                <w:color w:val="000000"/>
                <w:sz w:val="22"/>
              </w:rPr>
            </w:pPr>
            <w:r w:rsidRPr="00255804">
              <w:rPr>
                <w:b/>
                <w:color w:val="000000"/>
                <w:sz w:val="22"/>
              </w:rPr>
              <w:t>1835</w:t>
            </w:r>
          </w:p>
        </w:tc>
      </w:tr>
      <w:tr w:rsidR="00A02531" w:rsidRPr="00255804" w:rsidTr="003C7888">
        <w:trPr>
          <w:trHeight w:val="288"/>
        </w:trPr>
        <w:tc>
          <w:tcPr>
            <w:tcW w:w="135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rPr>
                <w:rFonts w:eastAsiaTheme="minorHAnsi"/>
                <w:color w:val="000000"/>
                <w:sz w:val="22"/>
              </w:rPr>
            </w:pPr>
            <w:r w:rsidRPr="007A2EDE">
              <w:rPr>
                <w:color w:val="000000"/>
                <w:sz w:val="22"/>
              </w:rPr>
              <w:t>UK</w:t>
            </w:r>
          </w:p>
        </w:tc>
        <w:tc>
          <w:tcPr>
            <w:tcW w:w="17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627</w:t>
            </w:r>
          </w:p>
        </w:tc>
        <w:tc>
          <w:tcPr>
            <w:tcW w:w="12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1612</w:t>
            </w:r>
          </w:p>
        </w:tc>
        <w:tc>
          <w:tcPr>
            <w:tcW w:w="12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2470</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3790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7A2EDE" w:rsidRDefault="00A02531" w:rsidP="000A79B5">
            <w:pPr>
              <w:spacing w:after="0"/>
              <w:jc w:val="right"/>
              <w:rPr>
                <w:rFonts w:eastAsiaTheme="minorHAnsi"/>
                <w:color w:val="000000"/>
                <w:sz w:val="22"/>
              </w:rPr>
            </w:pPr>
            <w:r w:rsidRPr="007A2EDE">
              <w:rPr>
                <w:color w:val="000000"/>
                <w:sz w:val="22"/>
              </w:rPr>
              <w:t>1634</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A02531" w:rsidRPr="00255804" w:rsidRDefault="00A02531" w:rsidP="000A79B5">
            <w:pPr>
              <w:spacing w:after="0"/>
              <w:rPr>
                <w:rFonts w:eastAsiaTheme="minorHAnsi"/>
                <w:b/>
                <w:color w:val="000000"/>
                <w:sz w:val="22"/>
              </w:rPr>
            </w:pPr>
            <w:r w:rsidRPr="00255804">
              <w:rPr>
                <w:b/>
                <w:color w:val="000000"/>
                <w:sz w:val="22"/>
              </w:rPr>
              <w:t> </w:t>
            </w:r>
          </w:p>
        </w:tc>
      </w:tr>
    </w:tbl>
    <w:p w:rsidR="00A02531" w:rsidRPr="006E7C08" w:rsidRDefault="00255804" w:rsidP="000A79B5">
      <w:pPr>
        <w:spacing w:after="0"/>
        <w:rPr>
          <w:rFonts w:eastAsiaTheme="minorHAnsi"/>
          <w:sz w:val="20"/>
          <w:szCs w:val="20"/>
        </w:rPr>
      </w:pPr>
      <w:r w:rsidRPr="006E7C08">
        <w:rPr>
          <w:color w:val="000000"/>
          <w:sz w:val="20"/>
          <w:szCs w:val="20"/>
        </w:rPr>
        <w:t xml:space="preserve">Allikas: </w:t>
      </w:r>
      <w:proofErr w:type="spellStart"/>
      <w:r w:rsidRPr="006E7C08">
        <w:rPr>
          <w:color w:val="000000"/>
          <w:sz w:val="20"/>
          <w:szCs w:val="20"/>
        </w:rPr>
        <w:t>Current</w:t>
      </w:r>
      <w:proofErr w:type="spellEnd"/>
      <w:r w:rsidRPr="006E7C08">
        <w:rPr>
          <w:color w:val="000000"/>
          <w:sz w:val="20"/>
          <w:szCs w:val="20"/>
        </w:rPr>
        <w:t xml:space="preserve"> </w:t>
      </w:r>
      <w:proofErr w:type="spellStart"/>
      <w:r w:rsidRPr="006E7C08">
        <w:rPr>
          <w:color w:val="000000"/>
          <w:sz w:val="20"/>
          <w:szCs w:val="20"/>
        </w:rPr>
        <w:t>prospective</w:t>
      </w:r>
      <w:proofErr w:type="spellEnd"/>
      <w:r w:rsidRPr="006E7C08">
        <w:rPr>
          <w:color w:val="000000"/>
          <w:sz w:val="20"/>
          <w:szCs w:val="20"/>
        </w:rPr>
        <w:t xml:space="preserve"> of pension </w:t>
      </w:r>
      <w:proofErr w:type="spellStart"/>
      <w:r w:rsidRPr="006E7C08">
        <w:rPr>
          <w:color w:val="000000"/>
          <w:sz w:val="20"/>
          <w:szCs w:val="20"/>
        </w:rPr>
        <w:t>replacement</w:t>
      </w:r>
      <w:proofErr w:type="spellEnd"/>
      <w:r w:rsidRPr="006E7C08">
        <w:rPr>
          <w:color w:val="000000"/>
          <w:sz w:val="20"/>
          <w:szCs w:val="20"/>
        </w:rPr>
        <w:t xml:space="preserve"> </w:t>
      </w:r>
      <w:proofErr w:type="spellStart"/>
      <w:r w:rsidRPr="006E7C08">
        <w:rPr>
          <w:color w:val="000000"/>
          <w:sz w:val="20"/>
          <w:szCs w:val="20"/>
        </w:rPr>
        <w:t>rates</w:t>
      </w:r>
      <w:proofErr w:type="spellEnd"/>
      <w:r w:rsidRPr="006E7C08">
        <w:rPr>
          <w:color w:val="000000"/>
          <w:sz w:val="20"/>
          <w:szCs w:val="20"/>
        </w:rPr>
        <w:t xml:space="preserve">, </w:t>
      </w:r>
      <w:proofErr w:type="spellStart"/>
      <w:r w:rsidRPr="006E7C08">
        <w:rPr>
          <w:color w:val="000000"/>
          <w:sz w:val="20"/>
          <w:szCs w:val="20"/>
        </w:rPr>
        <w:t>Commission</w:t>
      </w:r>
      <w:proofErr w:type="spellEnd"/>
      <w:r w:rsidRPr="006E7C08">
        <w:rPr>
          <w:color w:val="000000"/>
          <w:sz w:val="20"/>
          <w:szCs w:val="20"/>
        </w:rPr>
        <w:t xml:space="preserve"> </w:t>
      </w:r>
      <w:proofErr w:type="spellStart"/>
      <w:r w:rsidRPr="006E7C08">
        <w:rPr>
          <w:color w:val="000000"/>
          <w:sz w:val="20"/>
          <w:szCs w:val="20"/>
        </w:rPr>
        <w:t>Social</w:t>
      </w:r>
      <w:proofErr w:type="spellEnd"/>
      <w:r w:rsidRPr="006E7C08">
        <w:rPr>
          <w:color w:val="000000"/>
          <w:sz w:val="20"/>
          <w:szCs w:val="20"/>
        </w:rPr>
        <w:t xml:space="preserve"> </w:t>
      </w:r>
      <w:proofErr w:type="spellStart"/>
      <w:r w:rsidRPr="006E7C08">
        <w:rPr>
          <w:color w:val="000000"/>
          <w:sz w:val="20"/>
          <w:szCs w:val="20"/>
        </w:rPr>
        <w:t>Protection</w:t>
      </w:r>
      <w:proofErr w:type="spellEnd"/>
      <w:r w:rsidRPr="006E7C08">
        <w:rPr>
          <w:color w:val="000000"/>
          <w:sz w:val="20"/>
          <w:szCs w:val="20"/>
        </w:rPr>
        <w:t xml:space="preserve"> </w:t>
      </w:r>
      <w:proofErr w:type="spellStart"/>
      <w:r w:rsidRPr="006E7C08">
        <w:rPr>
          <w:color w:val="000000"/>
          <w:sz w:val="20"/>
          <w:szCs w:val="20"/>
        </w:rPr>
        <w:t>Committee</w:t>
      </w:r>
      <w:proofErr w:type="spellEnd"/>
    </w:p>
    <w:p w:rsidR="00E718F7" w:rsidRPr="006E7C08" w:rsidRDefault="00112BE0" w:rsidP="00E718F7">
      <w:pPr>
        <w:rPr>
          <w:sz w:val="20"/>
          <w:szCs w:val="20"/>
        </w:rPr>
      </w:pPr>
      <w:hyperlink r:id="rId10" w:history="1">
        <w:r w:rsidR="006E7C08" w:rsidRPr="00301F76">
          <w:rPr>
            <w:rStyle w:val="Hperlink"/>
            <w:sz w:val="20"/>
            <w:szCs w:val="20"/>
          </w:rPr>
          <w:t>http://ec.europa.eu/employment_social/social_protection/docs/isg_repl_rates_en.pdf</w:t>
        </w:r>
      </w:hyperlink>
      <w:r w:rsidR="006E7C08">
        <w:rPr>
          <w:sz w:val="20"/>
          <w:szCs w:val="20"/>
        </w:rPr>
        <w:t xml:space="preserve"> </w:t>
      </w:r>
    </w:p>
    <w:p w:rsidR="00E718F7" w:rsidRDefault="00E718F7" w:rsidP="00E718F7">
      <w:pPr>
        <w:rPr>
          <w:szCs w:val="24"/>
        </w:rPr>
      </w:pPr>
    </w:p>
    <w:p w:rsidR="00535122" w:rsidRPr="00312485" w:rsidRDefault="00535122" w:rsidP="00E718F7">
      <w:pPr>
        <w:rPr>
          <w:szCs w:val="24"/>
        </w:rPr>
      </w:pPr>
    </w:p>
    <w:p w:rsidR="00501507" w:rsidRPr="00312485" w:rsidRDefault="001952CF" w:rsidP="00842D44">
      <w:pPr>
        <w:rPr>
          <w:szCs w:val="24"/>
        </w:rPr>
      </w:pPr>
      <w:r w:rsidRPr="00312485">
        <w:rPr>
          <w:szCs w:val="24"/>
        </w:rPr>
        <w:t>Toivo Mängel</w:t>
      </w:r>
    </w:p>
    <w:p w:rsidR="001952CF" w:rsidRPr="00312485" w:rsidRDefault="001952CF" w:rsidP="00842D44">
      <w:pPr>
        <w:rPr>
          <w:szCs w:val="24"/>
        </w:rPr>
      </w:pPr>
      <w:r w:rsidRPr="00312485">
        <w:rPr>
          <w:szCs w:val="24"/>
        </w:rPr>
        <w:t>Mari Väli</w:t>
      </w:r>
    </w:p>
    <w:sectPr w:rsidR="001952CF" w:rsidRPr="00312485" w:rsidSect="007D0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BBF"/>
    <w:rsid w:val="00000BD6"/>
    <w:rsid w:val="00013D30"/>
    <w:rsid w:val="00047198"/>
    <w:rsid w:val="000771E1"/>
    <w:rsid w:val="000779E3"/>
    <w:rsid w:val="0009279B"/>
    <w:rsid w:val="000A79B5"/>
    <w:rsid w:val="000B6AA4"/>
    <w:rsid w:val="000C4B48"/>
    <w:rsid w:val="000E619F"/>
    <w:rsid w:val="000F6F46"/>
    <w:rsid w:val="00103730"/>
    <w:rsid w:val="00111677"/>
    <w:rsid w:val="00112BE0"/>
    <w:rsid w:val="001315A2"/>
    <w:rsid w:val="00135462"/>
    <w:rsid w:val="00141AF6"/>
    <w:rsid w:val="001952CF"/>
    <w:rsid w:val="001B47F0"/>
    <w:rsid w:val="001B6DC4"/>
    <w:rsid w:val="001C58A2"/>
    <w:rsid w:val="001F5B51"/>
    <w:rsid w:val="00202B32"/>
    <w:rsid w:val="00217245"/>
    <w:rsid w:val="0022232A"/>
    <w:rsid w:val="002318C2"/>
    <w:rsid w:val="002359F5"/>
    <w:rsid w:val="00255588"/>
    <w:rsid w:val="00255804"/>
    <w:rsid w:val="002753E1"/>
    <w:rsid w:val="00283348"/>
    <w:rsid w:val="002861D1"/>
    <w:rsid w:val="002F0C13"/>
    <w:rsid w:val="002F33B6"/>
    <w:rsid w:val="00312485"/>
    <w:rsid w:val="00320BBF"/>
    <w:rsid w:val="00320DA4"/>
    <w:rsid w:val="0033389E"/>
    <w:rsid w:val="00392C97"/>
    <w:rsid w:val="00393623"/>
    <w:rsid w:val="003A3DE9"/>
    <w:rsid w:val="003C7888"/>
    <w:rsid w:val="003F6F6F"/>
    <w:rsid w:val="003F71D4"/>
    <w:rsid w:val="00412527"/>
    <w:rsid w:val="004501D8"/>
    <w:rsid w:val="004B3B8F"/>
    <w:rsid w:val="004D4DEB"/>
    <w:rsid w:val="005003C7"/>
    <w:rsid w:val="00501507"/>
    <w:rsid w:val="00505FAA"/>
    <w:rsid w:val="00535122"/>
    <w:rsid w:val="00635EBD"/>
    <w:rsid w:val="00641D23"/>
    <w:rsid w:val="00696F50"/>
    <w:rsid w:val="006A522C"/>
    <w:rsid w:val="006C1D1B"/>
    <w:rsid w:val="006E07D1"/>
    <w:rsid w:val="006E7C08"/>
    <w:rsid w:val="007031D3"/>
    <w:rsid w:val="007A2EDE"/>
    <w:rsid w:val="007D0E09"/>
    <w:rsid w:val="007D389F"/>
    <w:rsid w:val="007E5466"/>
    <w:rsid w:val="00842D44"/>
    <w:rsid w:val="0085683D"/>
    <w:rsid w:val="00856F97"/>
    <w:rsid w:val="008C0B27"/>
    <w:rsid w:val="008C360F"/>
    <w:rsid w:val="00902FD9"/>
    <w:rsid w:val="0093398A"/>
    <w:rsid w:val="00940124"/>
    <w:rsid w:val="00965D6F"/>
    <w:rsid w:val="009B188E"/>
    <w:rsid w:val="009F4203"/>
    <w:rsid w:val="00A02531"/>
    <w:rsid w:val="00A2790B"/>
    <w:rsid w:val="00AB20B1"/>
    <w:rsid w:val="00AB3DBD"/>
    <w:rsid w:val="00AC12FA"/>
    <w:rsid w:val="00B36AD0"/>
    <w:rsid w:val="00B85047"/>
    <w:rsid w:val="00BC1250"/>
    <w:rsid w:val="00BC4B42"/>
    <w:rsid w:val="00C074F5"/>
    <w:rsid w:val="00C6031E"/>
    <w:rsid w:val="00C74457"/>
    <w:rsid w:val="00C7453B"/>
    <w:rsid w:val="00C77220"/>
    <w:rsid w:val="00C96A16"/>
    <w:rsid w:val="00CA3C69"/>
    <w:rsid w:val="00CD19EB"/>
    <w:rsid w:val="00CD6821"/>
    <w:rsid w:val="00CE7189"/>
    <w:rsid w:val="00CF3D72"/>
    <w:rsid w:val="00D24123"/>
    <w:rsid w:val="00D525C9"/>
    <w:rsid w:val="00DD7180"/>
    <w:rsid w:val="00DE1F9F"/>
    <w:rsid w:val="00DF193A"/>
    <w:rsid w:val="00E12AD2"/>
    <w:rsid w:val="00E718F7"/>
    <w:rsid w:val="00EA319B"/>
    <w:rsid w:val="00EE623C"/>
    <w:rsid w:val="00EF64FA"/>
    <w:rsid w:val="00F13B39"/>
    <w:rsid w:val="00F23634"/>
    <w:rsid w:val="00F503AA"/>
    <w:rsid w:val="00F72F4D"/>
    <w:rsid w:val="00F931F5"/>
    <w:rsid w:val="00FA6197"/>
    <w:rsid w:val="00FC391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1AF6"/>
    <w:pPr>
      <w:spacing w:after="200" w:line="276" w:lineRule="auto"/>
    </w:pPr>
    <w:rPr>
      <w:rFonts w:ascii="Times New Roman" w:hAnsi="Times New Roman"/>
      <w:sz w:val="24"/>
      <w:szCs w:val="22"/>
      <w:lang w:eastAsia="en-US"/>
    </w:rPr>
  </w:style>
  <w:style w:type="paragraph" w:styleId="Pealkiri1">
    <w:name w:val="heading 1"/>
    <w:basedOn w:val="Normaallaad"/>
    <w:next w:val="Normaallaad"/>
    <w:link w:val="Pealkiri1Mrk"/>
    <w:uiPriority w:val="9"/>
    <w:qFormat/>
    <w:rsid w:val="00141AF6"/>
    <w:pPr>
      <w:keepNext/>
      <w:spacing w:before="240" w:after="60"/>
      <w:outlineLvl w:val="0"/>
    </w:pPr>
    <w:rPr>
      <w:rFonts w:ascii="Cambria" w:eastAsia="Times New Roman" w:hAnsi="Cambria"/>
      <w:b/>
      <w:bCs/>
      <w:kern w:val="32"/>
      <w:sz w:val="32"/>
      <w:szCs w:val="32"/>
    </w:rPr>
  </w:style>
  <w:style w:type="paragraph" w:styleId="Pealkiri2">
    <w:name w:val="heading 2"/>
    <w:basedOn w:val="Normaallaad"/>
    <w:next w:val="Normaallaad"/>
    <w:link w:val="Pealkiri2Mrk"/>
    <w:uiPriority w:val="9"/>
    <w:unhideWhenUsed/>
    <w:qFormat/>
    <w:rsid w:val="00141AF6"/>
    <w:pPr>
      <w:keepNext/>
      <w:spacing w:before="240" w:after="60"/>
      <w:outlineLvl w:val="1"/>
    </w:pPr>
    <w:rPr>
      <w:rFonts w:ascii="Cambria" w:eastAsia="Times New Roman" w:hAnsi="Cambria"/>
      <w:b/>
      <w:bCs/>
      <w:i/>
      <w:i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141AF6"/>
    <w:rPr>
      <w:rFonts w:ascii="Cambria" w:eastAsia="Times New Roman" w:hAnsi="Cambria" w:cs="Times New Roman"/>
      <w:b/>
      <w:bCs/>
      <w:kern w:val="32"/>
      <w:sz w:val="32"/>
      <w:szCs w:val="32"/>
      <w:lang w:eastAsia="en-US"/>
    </w:rPr>
  </w:style>
  <w:style w:type="character" w:customStyle="1" w:styleId="Pealkiri2Mrk">
    <w:name w:val="Pealkiri 2 Märk"/>
    <w:link w:val="Pealkiri2"/>
    <w:uiPriority w:val="9"/>
    <w:rsid w:val="00141AF6"/>
    <w:rPr>
      <w:rFonts w:ascii="Cambria" w:eastAsia="Times New Roman" w:hAnsi="Cambria" w:cs="Times New Roman"/>
      <w:b/>
      <w:bCs/>
      <w:i/>
      <w:iCs/>
      <w:sz w:val="28"/>
      <w:szCs w:val="28"/>
      <w:lang w:eastAsia="en-US"/>
    </w:rPr>
  </w:style>
  <w:style w:type="character" w:styleId="Tugev">
    <w:name w:val="Strong"/>
    <w:uiPriority w:val="22"/>
    <w:qFormat/>
    <w:rsid w:val="00141AF6"/>
    <w:rPr>
      <w:b/>
      <w:bCs/>
    </w:rPr>
  </w:style>
  <w:style w:type="paragraph" w:styleId="Sisukorrapealkiri">
    <w:name w:val="TOC Heading"/>
    <w:basedOn w:val="Pealkiri1"/>
    <w:next w:val="Normaallaad"/>
    <w:uiPriority w:val="39"/>
    <w:semiHidden/>
    <w:unhideWhenUsed/>
    <w:qFormat/>
    <w:rsid w:val="00141AF6"/>
    <w:pPr>
      <w:keepLines/>
      <w:spacing w:before="480" w:after="0"/>
      <w:outlineLvl w:val="9"/>
    </w:pPr>
    <w:rPr>
      <w:color w:val="365F91"/>
      <w:kern w:val="0"/>
      <w:sz w:val="28"/>
      <w:szCs w:val="28"/>
    </w:rPr>
  </w:style>
  <w:style w:type="paragraph" w:styleId="Jutumullitekst">
    <w:name w:val="Balloon Text"/>
    <w:basedOn w:val="Normaallaad"/>
    <w:link w:val="JutumullitekstMrk"/>
    <w:uiPriority w:val="99"/>
    <w:semiHidden/>
    <w:unhideWhenUsed/>
    <w:rsid w:val="00D2412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24123"/>
    <w:rPr>
      <w:rFonts w:ascii="Tahoma" w:hAnsi="Tahoma" w:cs="Tahoma"/>
      <w:sz w:val="16"/>
      <w:szCs w:val="16"/>
      <w:lang w:eastAsia="en-US"/>
    </w:rPr>
  </w:style>
  <w:style w:type="table" w:styleId="Kontuurtabel">
    <w:name w:val="Table Grid"/>
    <w:basedOn w:val="Normaaltabel"/>
    <w:uiPriority w:val="59"/>
    <w:rsid w:val="0039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393623"/>
    <w:rPr>
      <w:color w:val="0000FF" w:themeColor="hyperlink"/>
      <w:u w:val="single"/>
    </w:rPr>
  </w:style>
  <w:style w:type="paragraph" w:styleId="Normaallaadveeb">
    <w:name w:val="Normal (Web)"/>
    <w:basedOn w:val="Normaallaad"/>
    <w:uiPriority w:val="99"/>
    <w:unhideWhenUsed/>
    <w:rsid w:val="002F33B6"/>
    <w:pPr>
      <w:spacing w:before="100" w:beforeAutospacing="1" w:after="100" w:afterAutospacing="1" w:line="240" w:lineRule="auto"/>
    </w:pPr>
    <w:rPr>
      <w:rFonts w:eastAsia="Times New Roman"/>
      <w:szCs w:val="24"/>
      <w:lang w:eastAsia="et-EE"/>
    </w:rPr>
  </w:style>
  <w:style w:type="character" w:styleId="Klastatudhperlink">
    <w:name w:val="FollowedHyperlink"/>
    <w:basedOn w:val="Liguvaikefont"/>
    <w:uiPriority w:val="99"/>
    <w:semiHidden/>
    <w:unhideWhenUsed/>
    <w:rsid w:val="00AB3D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22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document/activities/cont/201111/20111121ATT32055/20111121ATT32055EN.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mployment_social/missoc/db/public/compareTables.do?lang=en" TargetMode="External"/><Relationship Id="rId11" Type="http://schemas.openxmlformats.org/officeDocument/2006/relationships/fontTable" Target="fontTable.xml"/><Relationship Id="rId5" Type="http://schemas.openxmlformats.org/officeDocument/2006/relationships/hyperlink" Target="http://www.stat.ee/publication-download-pdf?publication_id=34214" TargetMode="External"/><Relationship Id="rId10" Type="http://schemas.openxmlformats.org/officeDocument/2006/relationships/hyperlink" Target="http://ec.europa.eu/employment_social/social_protection/docs/isg_repl_rates_en.pdf" TargetMode="External"/><Relationship Id="rId4" Type="http://schemas.openxmlformats.org/officeDocument/2006/relationships/image" Target="media/image1.jpeg"/><Relationship Id="rId9" Type="http://schemas.openxmlformats.org/officeDocument/2006/relationships/hyperlink" Target="http://ec.europa.eu/employment_social/social_protection/docs/isg_repl_rates_en.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1164</Words>
  <Characters>6757</Characters>
  <Application>Microsoft Office Word</Application>
  <DocSecurity>0</DocSecurity>
  <Lines>56</Lines>
  <Paragraphs>15</Paragraphs>
  <ScaleCrop>false</ScaleCrop>
  <Company>Riigikogu</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mvali</dc:creator>
  <cp:lastModifiedBy>mmuul</cp:lastModifiedBy>
  <cp:revision>3</cp:revision>
  <cp:lastPrinted>2013-05-17T08:50:00Z</cp:lastPrinted>
  <dcterms:created xsi:type="dcterms:W3CDTF">2013-05-17T10:20:00Z</dcterms:created>
  <dcterms:modified xsi:type="dcterms:W3CDTF">2013-07-04T09:09:00Z</dcterms:modified>
</cp:coreProperties>
</file>