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31" w:rsidRDefault="00BB0531" w:rsidP="00BB0531">
      <w:r>
        <w:rPr>
          <w:noProof/>
          <w:lang w:eastAsia="et-EE"/>
        </w:rPr>
        <w:drawing>
          <wp:inline distT="0" distB="0" distL="0" distR="0">
            <wp:extent cx="1485900" cy="923925"/>
            <wp:effectExtent l="19050" t="0" r="0" b="0"/>
            <wp:docPr id="1" name="Pilt 1" descr="RIIGIKOGU logod 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IGIKOGU logod EST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31" w:rsidRDefault="00BB0531" w:rsidP="00BB0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90A">
        <w:tab/>
      </w:r>
      <w:r w:rsidR="0094590A">
        <w:tab/>
      </w:r>
      <w:r w:rsidR="0094590A">
        <w:tab/>
      </w:r>
      <w:r w:rsidR="0094590A">
        <w:tab/>
      </w:r>
      <w:r w:rsidR="0094590A">
        <w:tab/>
      </w:r>
      <w:r w:rsidR="0094590A">
        <w:tab/>
      </w:r>
      <w:r w:rsidR="0094590A">
        <w:tab/>
      </w:r>
      <w:r w:rsidR="0094590A">
        <w:tab/>
      </w:r>
      <w:r w:rsidR="0094590A">
        <w:tab/>
      </w:r>
      <w:r w:rsidR="0094590A">
        <w:tab/>
      </w:r>
      <w:r w:rsidR="0094590A">
        <w:tab/>
      </w:r>
      <w:r w:rsidR="0094590A">
        <w:tab/>
      </w:r>
      <w:r w:rsidR="0094590A">
        <w:tab/>
      </w:r>
      <w:r w:rsidR="00DE3E3D">
        <w:t>23</w:t>
      </w:r>
      <w:r>
        <w:t>.01.2011 nr 024</w:t>
      </w:r>
    </w:p>
    <w:p w:rsidR="00BB0531" w:rsidRPr="00B03773" w:rsidRDefault="00132BEC" w:rsidP="00BB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Üksi elavate vanurite toimetulek</w:t>
      </w:r>
      <w:r w:rsidR="00BB0531" w:rsidRPr="00B03773">
        <w:rPr>
          <w:b/>
          <w:sz w:val="28"/>
          <w:szCs w:val="28"/>
        </w:rPr>
        <w:t xml:space="preserve"> </w:t>
      </w:r>
    </w:p>
    <w:p w:rsidR="00A212B2" w:rsidRDefault="00B577AD" w:rsidP="00A212B2">
      <w:pPr>
        <w:jc w:val="both"/>
        <w:rPr>
          <w:b/>
        </w:rPr>
      </w:pPr>
      <w:r w:rsidRPr="005465BF">
        <w:rPr>
          <w:b/>
        </w:rPr>
        <w:t>Kuidas on teistes Euroopa riikides korraldatud üksi elavatele vanuritele pensionide ja toetuste maksmine?</w:t>
      </w:r>
    </w:p>
    <w:p w:rsidR="0073151A" w:rsidRDefault="0073151A" w:rsidP="000A0D45">
      <w:pPr>
        <w:spacing w:line="240" w:lineRule="auto"/>
        <w:jc w:val="both"/>
        <w:rPr>
          <w:noProof/>
        </w:rPr>
      </w:pPr>
      <w:r>
        <w:rPr>
          <w:noProof/>
        </w:rPr>
        <w:t>Euroopa pensionisüsteemid peavad samaaegselt täitma kahte p</w:t>
      </w:r>
      <w:r w:rsidRPr="00F8704A">
        <w:rPr>
          <w:noProof/>
        </w:rPr>
        <w:t>eamis</w:t>
      </w:r>
      <w:r>
        <w:rPr>
          <w:noProof/>
        </w:rPr>
        <w:t>t</w:t>
      </w:r>
      <w:r w:rsidRPr="00F8704A">
        <w:rPr>
          <w:noProof/>
        </w:rPr>
        <w:t xml:space="preserve"> eesmär</w:t>
      </w:r>
      <w:r>
        <w:rPr>
          <w:noProof/>
        </w:rPr>
        <w:t>k</w:t>
      </w:r>
      <w:r w:rsidRPr="00F8704A">
        <w:rPr>
          <w:noProof/>
        </w:rPr>
        <w:t>i: piisavus ja jätkusuutlikkus</w:t>
      </w:r>
      <w:r>
        <w:rPr>
          <w:noProof/>
        </w:rPr>
        <w:t xml:space="preserve">. </w:t>
      </w:r>
      <w:r w:rsidR="00932DC9">
        <w:rPr>
          <w:noProof/>
        </w:rPr>
        <w:t>Pensionid pea</w:t>
      </w:r>
      <w:r w:rsidR="006B36CA">
        <w:rPr>
          <w:noProof/>
        </w:rPr>
        <w:t>va</w:t>
      </w:r>
      <w:r w:rsidR="00932DC9">
        <w:rPr>
          <w:noProof/>
        </w:rPr>
        <w:t xml:space="preserve">d olema piisava suurusega, tagamaks </w:t>
      </w:r>
      <w:r w:rsidR="00C3607D">
        <w:rPr>
          <w:noProof/>
        </w:rPr>
        <w:t>inimeste</w:t>
      </w:r>
      <w:r w:rsidR="00443041">
        <w:rPr>
          <w:noProof/>
        </w:rPr>
        <w:t xml:space="preserve"> sujuv üleminek tööelust pensionile, ohustamata samas süsteemi jätkusuutlikkust.</w:t>
      </w:r>
      <w:r w:rsidR="007C016C">
        <w:rPr>
          <w:noProof/>
        </w:rPr>
        <w:t xml:space="preserve"> </w:t>
      </w:r>
      <w:r w:rsidR="00175762">
        <w:rPr>
          <w:noProof/>
        </w:rPr>
        <w:t xml:space="preserve">Pensionide suurus peaks tagama selle saajate toimetuleku enamikul juhtudel; paljud riigid rakendavad teatud erijuhtude tarbeks mitmesuguseid täiendava toetuse mehhanisme. </w:t>
      </w:r>
      <w:r w:rsidR="00C3607D">
        <w:rPr>
          <w:noProof/>
        </w:rPr>
        <w:t>Üks selline erand on üksi elavad pensionärid.</w:t>
      </w:r>
    </w:p>
    <w:p w:rsidR="00636015" w:rsidRPr="00A86778" w:rsidRDefault="00636015" w:rsidP="00636015">
      <w:pPr>
        <w:spacing w:after="0"/>
        <w:jc w:val="both"/>
        <w:rPr>
          <w:b/>
        </w:rPr>
      </w:pPr>
      <w:r w:rsidRPr="00A86778">
        <w:rPr>
          <w:b/>
        </w:rPr>
        <w:t>Joonis 1. Suhtelise vaesuse määr EL liikmesriikides 2010</w:t>
      </w:r>
    </w:p>
    <w:p w:rsidR="00636015" w:rsidRDefault="00636015" w:rsidP="00636015">
      <w:pPr>
        <w:jc w:val="both"/>
      </w:pPr>
      <w:r w:rsidRPr="00637277">
        <w:rPr>
          <w:noProof/>
          <w:lang w:eastAsia="et-EE"/>
        </w:rPr>
        <w:drawing>
          <wp:inline distT="0" distB="0" distL="0" distR="0">
            <wp:extent cx="5829300" cy="4524375"/>
            <wp:effectExtent l="19050" t="0" r="1905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6015" w:rsidRPr="00636015" w:rsidRDefault="00636015" w:rsidP="00636015">
      <w:pPr>
        <w:spacing w:after="0" w:line="240" w:lineRule="auto"/>
        <w:rPr>
          <w:sz w:val="18"/>
          <w:szCs w:val="18"/>
        </w:rPr>
      </w:pPr>
      <w:r w:rsidRPr="00636015">
        <w:rPr>
          <w:sz w:val="20"/>
          <w:szCs w:val="20"/>
        </w:rPr>
        <w:t xml:space="preserve">Allikas: </w:t>
      </w:r>
      <w:proofErr w:type="spellStart"/>
      <w:r w:rsidRPr="00636015">
        <w:rPr>
          <w:sz w:val="20"/>
          <w:szCs w:val="20"/>
        </w:rPr>
        <w:t>Eurostat</w:t>
      </w:r>
      <w:proofErr w:type="spellEnd"/>
      <w:r>
        <w:t xml:space="preserve"> </w:t>
      </w:r>
      <w:hyperlink r:id="rId9" w:history="1">
        <w:r w:rsidRPr="00636015">
          <w:rPr>
            <w:rStyle w:val="Hperlink"/>
            <w:sz w:val="18"/>
            <w:szCs w:val="18"/>
          </w:rPr>
          <w:t>http://epp.eurostat.ec.europa.eu/portal/page/portal/income_social_inclusion_living_conditions/data/database</w:t>
        </w:r>
      </w:hyperlink>
      <w:r w:rsidRPr="00636015">
        <w:rPr>
          <w:sz w:val="18"/>
          <w:szCs w:val="18"/>
        </w:rPr>
        <w:t xml:space="preserve"> </w:t>
      </w:r>
    </w:p>
    <w:p w:rsidR="00BA64AA" w:rsidRPr="00BA64AA" w:rsidRDefault="00BA64AA" w:rsidP="00BA64AA">
      <w:pPr>
        <w:jc w:val="both"/>
        <w:rPr>
          <w:rStyle w:val="Tugev"/>
          <w:rFonts w:cs="Times New Roman"/>
          <w:b w:val="0"/>
          <w:szCs w:val="24"/>
        </w:rPr>
      </w:pPr>
      <w:r>
        <w:rPr>
          <w:rStyle w:val="Tugev"/>
          <w:rFonts w:cs="Times New Roman"/>
          <w:b w:val="0"/>
          <w:szCs w:val="24"/>
        </w:rPr>
        <w:lastRenderedPageBreak/>
        <w:t xml:space="preserve">Suhtelise vaesuse määr näitab isikute osakaalu, kelle </w:t>
      </w:r>
      <w:r w:rsidRPr="00BA64AA">
        <w:rPr>
          <w:rStyle w:val="Tugev"/>
          <w:rFonts w:cs="Times New Roman"/>
          <w:b w:val="0"/>
          <w:szCs w:val="24"/>
        </w:rPr>
        <w:t xml:space="preserve">ekvivalentnetosissetulek </w:t>
      </w:r>
      <w:r>
        <w:rPr>
          <w:rStyle w:val="Tugev"/>
          <w:rFonts w:cs="Times New Roman"/>
          <w:b w:val="0"/>
          <w:szCs w:val="24"/>
        </w:rPr>
        <w:t xml:space="preserve">on alla 60% </w:t>
      </w:r>
      <w:r w:rsidRPr="00BA64AA">
        <w:rPr>
          <w:rStyle w:val="Tugev"/>
          <w:rFonts w:cs="Times New Roman"/>
          <w:b w:val="0"/>
          <w:szCs w:val="24"/>
        </w:rPr>
        <w:t>riigi ekvivalentnetosissetulek</w:t>
      </w:r>
      <w:r>
        <w:rPr>
          <w:rStyle w:val="Tugev"/>
          <w:rFonts w:cs="Times New Roman"/>
          <w:b w:val="0"/>
          <w:szCs w:val="24"/>
        </w:rPr>
        <w:t>u</w:t>
      </w:r>
      <w:r w:rsidRPr="00BA64AA">
        <w:rPr>
          <w:rStyle w:val="Tugev"/>
          <w:rFonts w:cs="Times New Roman"/>
          <w:b w:val="0"/>
          <w:szCs w:val="24"/>
        </w:rPr>
        <w:t xml:space="preserve"> mediaan</w:t>
      </w:r>
      <w:r>
        <w:rPr>
          <w:rStyle w:val="Tugev"/>
          <w:rFonts w:cs="Times New Roman"/>
          <w:b w:val="0"/>
          <w:szCs w:val="24"/>
        </w:rPr>
        <w:t>ist.</w:t>
      </w:r>
      <w:r w:rsidRPr="00BA64AA">
        <w:rPr>
          <w:rStyle w:val="Tugev"/>
          <w:rFonts w:cs="Times New Roman"/>
          <w:b w:val="0"/>
          <w:szCs w:val="24"/>
        </w:rPr>
        <w:t xml:space="preserve"> </w:t>
      </w:r>
    </w:p>
    <w:p w:rsidR="00636015" w:rsidRDefault="00636015" w:rsidP="00636015">
      <w:pPr>
        <w:spacing w:after="0"/>
        <w:jc w:val="both"/>
        <w:rPr>
          <w:rFonts w:cs="Times New Roman"/>
          <w:szCs w:val="24"/>
        </w:rPr>
      </w:pPr>
      <w:r w:rsidRPr="00B7670E">
        <w:rPr>
          <w:rFonts w:cs="Times New Roman"/>
          <w:szCs w:val="24"/>
        </w:rPr>
        <w:t>Jooniselt 1 on näha</w:t>
      </w:r>
      <w:r>
        <w:rPr>
          <w:rFonts w:cs="Times New Roman"/>
          <w:szCs w:val="24"/>
        </w:rPr>
        <w:t>,</w:t>
      </w:r>
      <w:r w:rsidRPr="00B7670E">
        <w:rPr>
          <w:rFonts w:cs="Times New Roman"/>
          <w:szCs w:val="24"/>
        </w:rPr>
        <w:t xml:space="preserve"> et enamikus riikides on keskmine elanikkonna vaesuse määr kõrgem kui kahe pensionäriga leibkonnas, kuid madalam kui üksiku pensionäri leibkonnal</w:t>
      </w:r>
      <w:r>
        <w:rPr>
          <w:rFonts w:cs="Times New Roman"/>
          <w:szCs w:val="24"/>
        </w:rPr>
        <w:t xml:space="preserve"> ja see on nii ka Eestis</w:t>
      </w:r>
      <w:r w:rsidRPr="00B7670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BA64AA" w:rsidRDefault="00BA64AA" w:rsidP="00FD5F49">
      <w:pPr>
        <w:spacing w:after="0"/>
        <w:jc w:val="both"/>
        <w:rPr>
          <w:noProof/>
        </w:rPr>
      </w:pPr>
    </w:p>
    <w:p w:rsidR="0073151A" w:rsidRPr="005465BF" w:rsidRDefault="00C3607D" w:rsidP="00A212B2">
      <w:pPr>
        <w:jc w:val="both"/>
        <w:rPr>
          <w:b/>
        </w:rPr>
      </w:pPr>
      <w:r>
        <w:rPr>
          <w:noProof/>
        </w:rPr>
        <w:t>Väga üldiselt võib üksi elavate pensionäride toetamise viisid Euroopa riikides jagada kolme rühma:</w:t>
      </w:r>
    </w:p>
    <w:p w:rsidR="00BB0531" w:rsidRDefault="00350931" w:rsidP="00C3607D">
      <w:pPr>
        <w:pStyle w:val="Loendilik"/>
        <w:numPr>
          <w:ilvl w:val="0"/>
          <w:numId w:val="3"/>
        </w:numPr>
        <w:jc w:val="both"/>
      </w:pPr>
      <w:r>
        <w:t xml:space="preserve">Pension või osa sellest </w:t>
      </w:r>
      <w:r w:rsidR="00C3607D">
        <w:t xml:space="preserve">on üheliikmelisel leibkonnal automaatselt </w:t>
      </w:r>
      <w:r>
        <w:t>suurem</w:t>
      </w:r>
      <w:r w:rsidR="00D34A4D">
        <w:t>.</w:t>
      </w:r>
      <w:r>
        <w:t xml:space="preserve"> </w:t>
      </w:r>
    </w:p>
    <w:p w:rsidR="00350931" w:rsidRDefault="00C3607D" w:rsidP="00252A10">
      <w:pPr>
        <w:pStyle w:val="Loendilik"/>
        <w:numPr>
          <w:ilvl w:val="0"/>
          <w:numId w:val="3"/>
        </w:numPr>
        <w:jc w:val="both"/>
      </w:pPr>
      <w:r>
        <w:t>Üksi elaval pensionäril on v</w:t>
      </w:r>
      <w:r w:rsidR="00350931">
        <w:t xml:space="preserve">õimalus taotleda lisapensionit, </w:t>
      </w:r>
      <w:r>
        <w:t xml:space="preserve">kuid väljamaksmine on </w:t>
      </w:r>
      <w:r w:rsidR="00350931">
        <w:t xml:space="preserve">vajaduspõhine </w:t>
      </w:r>
      <w:r>
        <w:t>(</w:t>
      </w:r>
      <w:proofErr w:type="spellStart"/>
      <w:r w:rsidRPr="00C3607D">
        <w:rPr>
          <w:i/>
        </w:rPr>
        <w:t>means-tested</w:t>
      </w:r>
      <w:proofErr w:type="spellEnd"/>
      <w:r>
        <w:t xml:space="preserve">) </w:t>
      </w:r>
      <w:r w:rsidR="00350931">
        <w:t xml:space="preserve">ja kõik ei pruugi </w:t>
      </w:r>
      <w:r>
        <w:t>nõuetele vastata</w:t>
      </w:r>
      <w:r w:rsidR="00D34A4D">
        <w:t>.</w:t>
      </w:r>
    </w:p>
    <w:p w:rsidR="00350931" w:rsidRDefault="00350931" w:rsidP="00252A10">
      <w:pPr>
        <w:pStyle w:val="Loendilik"/>
        <w:numPr>
          <w:ilvl w:val="0"/>
          <w:numId w:val="3"/>
        </w:numPr>
        <w:jc w:val="both"/>
      </w:pPr>
      <w:r>
        <w:t>Lisapensionit ei ole, on võimalus taotleda toimetulekutoetust sarnaselt teiste elanike gruppidega</w:t>
      </w:r>
      <w:r w:rsidR="00D34A4D">
        <w:t>.</w:t>
      </w:r>
    </w:p>
    <w:p w:rsidR="00226E65" w:rsidRDefault="00226E65" w:rsidP="00226E65">
      <w:pPr>
        <w:jc w:val="both"/>
      </w:pPr>
      <w:r>
        <w:t>Inimese jaoks kahel viimati nimetatud võimalusel olulist vahet ei ole, riigi jaoks on erinevus selles, millisest allikast toetust makstakse – kas pensionieelarvest</w:t>
      </w:r>
      <w:r w:rsidR="0075714C">
        <w:t>/pensionikassast</w:t>
      </w:r>
      <w:r>
        <w:t xml:space="preserve"> või riigi- või kohaliku omavalitsuse eelarve</w:t>
      </w:r>
      <w:r w:rsidR="00B22C54">
        <w:t xml:space="preserve"> sotsiaaltoetuste vahenditest.</w:t>
      </w:r>
      <w:r>
        <w:t xml:space="preserve">  </w:t>
      </w:r>
    </w:p>
    <w:p w:rsidR="00994267" w:rsidRDefault="003B3DF6" w:rsidP="0050663B">
      <w:r>
        <w:t>Esimesse rühma kuuluvad näiteks</w:t>
      </w:r>
      <w:r w:rsidR="00994267">
        <w:t>:</w:t>
      </w:r>
    </w:p>
    <w:p w:rsidR="00994267" w:rsidRDefault="0050663B" w:rsidP="00D23400">
      <w:pPr>
        <w:pStyle w:val="Loendilik"/>
        <w:numPr>
          <w:ilvl w:val="0"/>
          <w:numId w:val="4"/>
        </w:numPr>
        <w:jc w:val="both"/>
      </w:pPr>
      <w:r>
        <w:t>Belgia</w:t>
      </w:r>
      <w:r w:rsidR="00994267">
        <w:t>, kus</w:t>
      </w:r>
      <w:r>
        <w:t xml:space="preserve"> miinimumpensioni </w:t>
      </w:r>
      <w:r w:rsidR="00994267">
        <w:t>määr on üksi elaval pensionäril kõrgem kui</w:t>
      </w:r>
      <w:r>
        <w:t xml:space="preserve"> teistega koos elava</w:t>
      </w:r>
      <w:r w:rsidR="00994267">
        <w:t>l</w:t>
      </w:r>
      <w:r>
        <w:t xml:space="preserve"> pensionäril</w:t>
      </w:r>
      <w:r w:rsidR="00994267">
        <w:t>;</w:t>
      </w:r>
    </w:p>
    <w:p w:rsidR="0050663B" w:rsidRDefault="004C7785" w:rsidP="00D23400">
      <w:pPr>
        <w:pStyle w:val="Loendilik"/>
        <w:numPr>
          <w:ilvl w:val="0"/>
          <w:numId w:val="4"/>
        </w:numPr>
        <w:jc w:val="both"/>
      </w:pPr>
      <w:r>
        <w:t>Taani, kus teatud pensioniosa suurus sõltub sellest, kas saaja elab üksi või kellegagi koos;</w:t>
      </w:r>
    </w:p>
    <w:p w:rsidR="00394964" w:rsidRPr="00394964" w:rsidRDefault="00394964" w:rsidP="00D23400">
      <w:pPr>
        <w:pStyle w:val="Loendilik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>
        <w:t xml:space="preserve">Iirimaa, kus üksi elavale üle 66-aastasele pensionärile makstakse väikest lisatoetust ning maksuvaba osa pensionist on suurem; </w:t>
      </w:r>
    </w:p>
    <w:p w:rsidR="004C7785" w:rsidRDefault="00C92BDB" w:rsidP="00D23400">
      <w:pPr>
        <w:pStyle w:val="Loendilik"/>
        <w:numPr>
          <w:ilvl w:val="0"/>
          <w:numId w:val="4"/>
        </w:numPr>
        <w:jc w:val="both"/>
      </w:pPr>
      <w:r>
        <w:t>Norra, kus</w:t>
      </w:r>
      <w:r w:rsidR="008B75B7">
        <w:t xml:space="preserve"> baaspension on üksikule 100% ja </w:t>
      </w:r>
      <w:r>
        <w:t>koos</w:t>
      </w:r>
      <w:r w:rsidR="008B75B7">
        <w:t xml:space="preserve"> elavale pensionäri</w:t>
      </w:r>
      <w:r>
        <w:t>paari</w:t>
      </w:r>
      <w:r w:rsidR="008B75B7">
        <w:t>le 85%</w:t>
      </w:r>
      <w:r w:rsidR="00651518">
        <w:t>;</w:t>
      </w:r>
    </w:p>
    <w:p w:rsidR="00CD3B33" w:rsidRPr="006E6B5F" w:rsidRDefault="002E3CE9" w:rsidP="00D23400">
      <w:pPr>
        <w:pStyle w:val="Loendilik"/>
        <w:numPr>
          <w:ilvl w:val="0"/>
          <w:numId w:val="4"/>
        </w:numPr>
        <w:spacing w:before="100" w:beforeAutospacing="1" w:after="100" w:afterAutospacing="1"/>
        <w:jc w:val="both"/>
        <w:rPr>
          <w:szCs w:val="24"/>
        </w:rPr>
      </w:pPr>
      <w:r>
        <w:t>Hispaania, kus üksikpensionärile makstav pension on ligikaudu 20% suur</w:t>
      </w:r>
      <w:r w:rsidR="00651518">
        <w:t>em kui pensionäridepaari puhul;</w:t>
      </w:r>
    </w:p>
    <w:p w:rsidR="006E6B5F" w:rsidRPr="00E230EC" w:rsidRDefault="006E6B5F" w:rsidP="00D23400">
      <w:pPr>
        <w:pStyle w:val="Loendilik"/>
        <w:numPr>
          <w:ilvl w:val="0"/>
          <w:numId w:val="4"/>
        </w:numPr>
        <w:spacing w:before="100" w:beforeAutospacing="1" w:after="100" w:afterAutospacing="1"/>
        <w:jc w:val="both"/>
        <w:rPr>
          <w:szCs w:val="24"/>
        </w:rPr>
      </w:pPr>
      <w:r>
        <w:t>Holland – pension on kolmandi</w:t>
      </w:r>
      <w:r w:rsidR="00844B9E">
        <w:t>ku</w:t>
      </w:r>
      <w:r>
        <w:t xml:space="preserve"> võ</w:t>
      </w:r>
      <w:r w:rsidR="00E230EC">
        <w:t>rra suurem, kui saaja elab üksi;</w:t>
      </w:r>
    </w:p>
    <w:p w:rsidR="00E230EC" w:rsidRPr="00CD3B33" w:rsidRDefault="00E230EC" w:rsidP="00D23400">
      <w:pPr>
        <w:pStyle w:val="Loendilik"/>
        <w:numPr>
          <w:ilvl w:val="0"/>
          <w:numId w:val="4"/>
        </w:numPr>
        <w:spacing w:before="100" w:beforeAutospacing="1" w:after="100" w:afterAutospacing="1"/>
        <w:jc w:val="both"/>
        <w:rPr>
          <w:szCs w:val="24"/>
        </w:rPr>
      </w:pPr>
      <w:r>
        <w:t xml:space="preserve">Soome, kus juhul, kui kogumispension ei ole piisavalt suur, makstakse lisaks nn riiklikku pensioni, mille suurus erineb üksiku pensionäri ja paari puhul umbes </w:t>
      </w:r>
      <w:r w:rsidR="000316C1">
        <w:t>10% võrra.</w:t>
      </w:r>
      <w:r>
        <w:t xml:space="preserve"> </w:t>
      </w:r>
    </w:p>
    <w:p w:rsidR="002E3CE9" w:rsidRPr="00CD3B33" w:rsidRDefault="002E3CE9" w:rsidP="0092358C">
      <w:pPr>
        <w:spacing w:before="100" w:beforeAutospacing="1" w:after="100" w:afterAutospacing="1"/>
        <w:jc w:val="both"/>
        <w:rPr>
          <w:szCs w:val="24"/>
        </w:rPr>
      </w:pPr>
      <w:r w:rsidRPr="00CD3B33">
        <w:rPr>
          <w:rFonts w:cs="Times New Roman"/>
          <w:szCs w:val="24"/>
        </w:rPr>
        <w:t>Teist tüüpi ehk vajaduspõhist pensionilisa maksavad näiteks</w:t>
      </w:r>
      <w:r w:rsidRPr="00CD3B33">
        <w:rPr>
          <w:szCs w:val="24"/>
        </w:rPr>
        <w:t>:</w:t>
      </w:r>
    </w:p>
    <w:p w:rsidR="002E3CE9" w:rsidRDefault="002E3CE9" w:rsidP="00D23400">
      <w:pPr>
        <w:pStyle w:val="Loendilik"/>
        <w:numPr>
          <w:ilvl w:val="0"/>
          <w:numId w:val="4"/>
        </w:numPr>
        <w:jc w:val="both"/>
      </w:pPr>
      <w:r w:rsidRPr="002E3CE9">
        <w:rPr>
          <w:rFonts w:cs="Times New Roman"/>
          <w:szCs w:val="24"/>
        </w:rPr>
        <w:t>Sloveenia</w:t>
      </w:r>
      <w:r w:rsidR="00E51057">
        <w:rPr>
          <w:rFonts w:cs="Times New Roman"/>
          <w:szCs w:val="24"/>
        </w:rPr>
        <w:t>, kus</w:t>
      </w:r>
      <w:r w:rsidRPr="002E3CE9">
        <w:rPr>
          <w:rFonts w:cs="Times New Roman"/>
          <w:szCs w:val="24"/>
        </w:rPr>
        <w:t xml:space="preserve"> pensionilisa maksmisel </w:t>
      </w:r>
      <w:r w:rsidR="00E51057" w:rsidRPr="002E3CE9">
        <w:rPr>
          <w:rFonts w:cs="Times New Roman"/>
          <w:szCs w:val="24"/>
        </w:rPr>
        <w:t xml:space="preserve">võetakse </w:t>
      </w:r>
      <w:r w:rsidRPr="002E3CE9">
        <w:rPr>
          <w:rFonts w:cs="Times New Roman"/>
          <w:szCs w:val="24"/>
        </w:rPr>
        <w:t xml:space="preserve">arvesse kogu leibkonna sissetulekuid </w:t>
      </w:r>
      <w:r w:rsidR="00E51057">
        <w:rPr>
          <w:rFonts w:cs="Times New Roman"/>
          <w:szCs w:val="24"/>
        </w:rPr>
        <w:t>ning</w:t>
      </w:r>
      <w:r w:rsidRPr="002E3CE9">
        <w:rPr>
          <w:rFonts w:cs="Times New Roman"/>
          <w:szCs w:val="24"/>
        </w:rPr>
        <w:t xml:space="preserve"> vara (</w:t>
      </w:r>
      <w:r w:rsidR="00E51057">
        <w:rPr>
          <w:rFonts w:cs="Times New Roman"/>
          <w:szCs w:val="24"/>
        </w:rPr>
        <w:t xml:space="preserve">ja </w:t>
      </w:r>
      <w:r w:rsidRPr="002E3CE9">
        <w:rPr>
          <w:rFonts w:cs="Times New Roman"/>
          <w:szCs w:val="24"/>
        </w:rPr>
        <w:t xml:space="preserve">teatud piirist väärtuslikuma vara omanikel ei ole  </w:t>
      </w:r>
      <w:r>
        <w:t>õigust pensionilisale)</w:t>
      </w:r>
      <w:r w:rsidR="00E51057">
        <w:t>;</w:t>
      </w:r>
    </w:p>
    <w:p w:rsidR="002E3CE9" w:rsidRDefault="0064384B" w:rsidP="00D23400">
      <w:pPr>
        <w:pStyle w:val="Loendilik"/>
        <w:numPr>
          <w:ilvl w:val="0"/>
          <w:numId w:val="4"/>
        </w:numPr>
        <w:jc w:val="both"/>
      </w:pPr>
      <w:r>
        <w:t>Austria, kus pensionäridel on võimali</w:t>
      </w:r>
      <w:r w:rsidR="00A85C9C">
        <w:t>k taotleda lisatoetust, et nende sissetulekud ei jääks alla fikseeritud miinimumi, mis on üksi elava pensionäri puhul umbes veerandi võrra suurem kui paaril;</w:t>
      </w:r>
      <w:r w:rsidR="002E3CE9">
        <w:t xml:space="preserve"> </w:t>
      </w:r>
    </w:p>
    <w:p w:rsidR="00C57D9B" w:rsidRDefault="00C57D9B" w:rsidP="00D23400">
      <w:pPr>
        <w:pStyle w:val="Loendilik"/>
        <w:numPr>
          <w:ilvl w:val="0"/>
          <w:numId w:val="4"/>
        </w:numPr>
        <w:jc w:val="both"/>
      </w:pPr>
      <w:r>
        <w:t>Portugal</w:t>
      </w:r>
      <w:r w:rsidR="00ED593B">
        <w:t>, kus</w:t>
      </w:r>
      <w:r>
        <w:t xml:space="preserve"> pensionilisa </w:t>
      </w:r>
      <w:r w:rsidR="00ED593B">
        <w:t xml:space="preserve">suurus </w:t>
      </w:r>
      <w:r>
        <w:t>sõltub</w:t>
      </w:r>
      <w:r w:rsidR="00ED593B">
        <w:t xml:space="preserve"> sellest</w:t>
      </w:r>
      <w:r>
        <w:t>, kas saajaks on üksik pensionär või paar</w:t>
      </w:r>
      <w:r w:rsidR="00ED593B">
        <w:t xml:space="preserve"> ning muuhulgas </w:t>
      </w:r>
      <w:r>
        <w:t>võetakse arvesse teatud osa lisa taotleva p</w:t>
      </w:r>
      <w:r w:rsidR="0092358C">
        <w:t>ensionäri laste sissetulekutest;</w:t>
      </w:r>
    </w:p>
    <w:p w:rsidR="00386DA3" w:rsidRPr="00386DA3" w:rsidRDefault="007509E3" w:rsidP="00D23400">
      <w:pPr>
        <w:pStyle w:val="Loendilik"/>
        <w:numPr>
          <w:ilvl w:val="0"/>
          <w:numId w:val="4"/>
        </w:numPr>
        <w:spacing w:before="100" w:beforeAutospacing="1" w:after="100" w:afterAutospacing="1"/>
        <w:jc w:val="both"/>
        <w:rPr>
          <w:szCs w:val="24"/>
        </w:rPr>
      </w:pPr>
      <w:r w:rsidRPr="008F2DA3">
        <w:rPr>
          <w:rFonts w:eastAsia="Times New Roman" w:cs="Times New Roman"/>
          <w:color w:val="000000"/>
          <w:szCs w:val="24"/>
          <w:lang w:eastAsia="et-EE"/>
        </w:rPr>
        <w:lastRenderedPageBreak/>
        <w:t>Ühendkuningriik</w:t>
      </w:r>
      <w:r w:rsidR="0085331E" w:rsidRPr="008F2DA3">
        <w:rPr>
          <w:rFonts w:eastAsia="Times New Roman" w:cs="Times New Roman"/>
          <w:color w:val="000000"/>
          <w:szCs w:val="24"/>
          <w:lang w:eastAsia="et-EE"/>
        </w:rPr>
        <w:t>, kus on samuti kasutusel</w:t>
      </w:r>
      <w:r w:rsidR="008F2DA3" w:rsidRPr="008F2DA3">
        <w:rPr>
          <w:rFonts w:eastAsia="Times New Roman" w:cs="Times New Roman"/>
          <w:color w:val="000000"/>
          <w:szCs w:val="24"/>
          <w:lang w:eastAsia="et-EE"/>
        </w:rPr>
        <w:t xml:space="preserve"> miinimumsissetuleku tagamise süsteem ehk kokkulepitud miinimumist väiksema sissetuleku puhul makstakse vahe tegeliku ja kokkulepitud minimaalse piiri vahel ning üksi elava inimese puhul on m</w:t>
      </w:r>
      <w:r w:rsidR="0092358C">
        <w:rPr>
          <w:rFonts w:eastAsia="Times New Roman" w:cs="Times New Roman"/>
          <w:color w:val="000000"/>
          <w:szCs w:val="24"/>
          <w:lang w:eastAsia="et-EE"/>
        </w:rPr>
        <w:t>iinimum kolmandiku võrra suurem;</w:t>
      </w:r>
    </w:p>
    <w:p w:rsidR="00386DA3" w:rsidRDefault="00386DA3" w:rsidP="00D23400">
      <w:pPr>
        <w:pStyle w:val="Loendilik"/>
        <w:numPr>
          <w:ilvl w:val="0"/>
          <w:numId w:val="4"/>
        </w:numPr>
        <w:spacing w:before="100" w:beforeAutospacing="1" w:after="100" w:afterAutospacing="1"/>
        <w:jc w:val="both"/>
        <w:rPr>
          <w:szCs w:val="24"/>
        </w:rPr>
      </w:pPr>
      <w:r w:rsidRPr="00386DA3">
        <w:rPr>
          <w:szCs w:val="24"/>
        </w:rPr>
        <w:t>Rootsi, kus üle 65-aastastel, kelle pension jääb alla teatud piiri, on võimalik taotleda spetsiaalset eakate toimetulekutoetust, mille suurus on üheliikmelise leibkonna puhul 15% suurem kui koos elava pensionäri jaoks</w:t>
      </w:r>
      <w:r w:rsidR="00D23400">
        <w:rPr>
          <w:szCs w:val="24"/>
        </w:rPr>
        <w:t>;</w:t>
      </w:r>
    </w:p>
    <w:p w:rsidR="006202BD" w:rsidRPr="006202BD" w:rsidRDefault="00A438A3" w:rsidP="00D23400">
      <w:pPr>
        <w:pStyle w:val="Loendilik"/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6202BD">
        <w:rPr>
          <w:szCs w:val="24"/>
        </w:rPr>
        <w:t xml:space="preserve">Ungari, kus neile üksi elavatele pensionäridele (üle 62-aastased), kelle sissetulek jääb alla 80%, ja neile </w:t>
      </w:r>
      <w:r w:rsidR="004208E8" w:rsidRPr="006202BD">
        <w:rPr>
          <w:szCs w:val="24"/>
        </w:rPr>
        <w:t>koos</w:t>
      </w:r>
      <w:r w:rsidRPr="006202BD">
        <w:rPr>
          <w:szCs w:val="24"/>
        </w:rPr>
        <w:t xml:space="preserve"> elavatele</w:t>
      </w:r>
      <w:r w:rsidR="004208E8" w:rsidRPr="006202BD">
        <w:rPr>
          <w:szCs w:val="24"/>
        </w:rPr>
        <w:t xml:space="preserve"> pensionäridele</w:t>
      </w:r>
      <w:r w:rsidRPr="006202BD">
        <w:rPr>
          <w:szCs w:val="24"/>
        </w:rPr>
        <w:t>, kelle sissetulek jääb alla 95% minimaalsest vanaduspensionist</w:t>
      </w:r>
      <w:r w:rsidR="004208E8" w:rsidRPr="006202BD">
        <w:rPr>
          <w:szCs w:val="24"/>
        </w:rPr>
        <w:t>, makstakse</w:t>
      </w:r>
      <w:r w:rsidR="006202BD" w:rsidRPr="006202BD">
        <w:rPr>
          <w:szCs w:val="24"/>
        </w:rPr>
        <w:t xml:space="preserve"> sellises ulatuses</w:t>
      </w:r>
      <w:r w:rsidR="004208E8" w:rsidRPr="006202BD">
        <w:rPr>
          <w:szCs w:val="24"/>
        </w:rPr>
        <w:t xml:space="preserve"> lisatoetust, </w:t>
      </w:r>
      <w:r w:rsidR="006202BD" w:rsidRPr="006202BD">
        <w:rPr>
          <w:szCs w:val="24"/>
        </w:rPr>
        <w:t xml:space="preserve">mis tagab miinimumpensioni. </w:t>
      </w:r>
    </w:p>
    <w:p w:rsidR="0050663B" w:rsidRPr="006202BD" w:rsidRDefault="000B1949" w:rsidP="006202BD">
      <w:pPr>
        <w:spacing w:before="100" w:beforeAutospacing="1" w:after="100" w:afterAutospacing="1"/>
        <w:jc w:val="both"/>
        <w:rPr>
          <w:rFonts w:cs="Times New Roman"/>
          <w:szCs w:val="24"/>
        </w:rPr>
      </w:pPr>
      <w:r w:rsidRPr="006202BD">
        <w:rPr>
          <w:rFonts w:cs="Times New Roman"/>
          <w:szCs w:val="24"/>
        </w:rPr>
        <w:t>Kolmas variant ehk õigus pensionile lisaks</w:t>
      </w:r>
      <w:r w:rsidR="00E31E36" w:rsidRPr="006202BD">
        <w:rPr>
          <w:rFonts w:cs="Times New Roman"/>
          <w:szCs w:val="24"/>
        </w:rPr>
        <w:t xml:space="preserve"> taotleda</w:t>
      </w:r>
      <w:r w:rsidRPr="006202BD">
        <w:rPr>
          <w:rFonts w:cs="Times New Roman"/>
          <w:szCs w:val="24"/>
        </w:rPr>
        <w:t xml:space="preserve"> toimetulekutoetust on olemas kõikides Euroopa riikides, kaasa arvatud ülaltoodud maades.  </w:t>
      </w:r>
    </w:p>
    <w:p w:rsidR="00636221" w:rsidRDefault="00E6480D" w:rsidP="00636221">
      <w:pPr>
        <w:jc w:val="both"/>
      </w:pPr>
      <w:r>
        <w:t>Lisaks pensioni suurusele mõjutavad p</w:t>
      </w:r>
      <w:r w:rsidR="00F84325">
        <w:t xml:space="preserve">ensionäride toimetulekut </w:t>
      </w:r>
      <w:r>
        <w:t>riigi ja omavalitsuste pakutavad</w:t>
      </w:r>
      <w:r w:rsidR="00636221">
        <w:t xml:space="preserve"> lisateenused </w:t>
      </w:r>
      <w:r w:rsidR="00E773AC">
        <w:t>ja</w:t>
      </w:r>
      <w:r w:rsidR="008A7E91">
        <w:t xml:space="preserve"> </w:t>
      </w:r>
      <w:r w:rsidR="00E773AC">
        <w:t>-toetused</w:t>
      </w:r>
      <w:r w:rsidR="00F02EAD">
        <w:t xml:space="preserve">. </w:t>
      </w:r>
      <w:r w:rsidR="001E742C">
        <w:t xml:space="preserve">Küllaltki levinud on eluasemekulude </w:t>
      </w:r>
      <w:r w:rsidR="004138E2">
        <w:t>kompensatsioon</w:t>
      </w:r>
      <w:r w:rsidR="001E742C">
        <w:t xml:space="preserve"> pensionäridele</w:t>
      </w:r>
      <w:r w:rsidR="008E3587">
        <w:t xml:space="preserve"> (</w:t>
      </w:r>
      <w:r w:rsidR="008A7E91">
        <w:t xml:space="preserve">nt </w:t>
      </w:r>
      <w:r w:rsidR="008E3587">
        <w:t>UK, Soome, Rootsi, Kreeka</w:t>
      </w:r>
      <w:r w:rsidR="00F02EAD">
        <w:t>). Ühendkuningriigis on lisaks olemas veel talviste küttekulude toetus pensionäridele.</w:t>
      </w:r>
    </w:p>
    <w:p w:rsidR="00F94873" w:rsidRPr="00B7670E" w:rsidRDefault="00222064" w:rsidP="0013230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Eestis on pensionäride osakaal toimetulekutoetuse taotlejate hulgas tagasihoidlik – 2009. aastal umbes 10% ehk ligikaudu 2000 leibkonda (nii üksikud kui koos elavad), mis moodustab kõikidest pensionäridest väga väikese osa. </w:t>
      </w:r>
      <w:r w:rsidR="00602E6E">
        <w:rPr>
          <w:rFonts w:cs="Times New Roman"/>
          <w:szCs w:val="24"/>
        </w:rPr>
        <w:t>Tartu Ülikooli sotsiaalteadlaste toimetulekutoetuse kasutamise</w:t>
      </w:r>
      <w:r w:rsidR="00602E6E" w:rsidRPr="00602E6E">
        <w:rPr>
          <w:rFonts w:cs="Times New Roman"/>
          <w:szCs w:val="24"/>
        </w:rPr>
        <w:t xml:space="preserve"> </w:t>
      </w:r>
      <w:r w:rsidR="00602E6E">
        <w:rPr>
          <w:rFonts w:cs="Times New Roman"/>
          <w:szCs w:val="24"/>
        </w:rPr>
        <w:t>analüüs</w:t>
      </w:r>
      <w:r w:rsidR="00F4499B">
        <w:rPr>
          <w:rFonts w:cs="Times New Roman"/>
          <w:szCs w:val="24"/>
        </w:rPr>
        <w:t>ist ilmneb</w:t>
      </w:r>
      <w:r w:rsidR="00602E6E">
        <w:rPr>
          <w:rFonts w:cs="Times New Roman"/>
          <w:szCs w:val="24"/>
        </w:rPr>
        <w:t xml:space="preserve">, et </w:t>
      </w:r>
      <w:r w:rsidR="009F6A0D">
        <w:rPr>
          <w:rFonts w:cs="Times New Roman"/>
          <w:szCs w:val="24"/>
        </w:rPr>
        <w:t xml:space="preserve">Eestis on </w:t>
      </w:r>
      <w:r w:rsidR="00602E6E" w:rsidRPr="00602E6E">
        <w:rPr>
          <w:rFonts w:cs="Times New Roman"/>
          <w:szCs w:val="24"/>
        </w:rPr>
        <w:t>üksikute eakate toetuse saa</w:t>
      </w:r>
      <w:r w:rsidR="00F4499B">
        <w:rPr>
          <w:rFonts w:cs="Times New Roman"/>
          <w:szCs w:val="24"/>
        </w:rPr>
        <w:t>mine selgelt sesoonse iseloo</w:t>
      </w:r>
      <w:r w:rsidR="00602E6E" w:rsidRPr="00602E6E">
        <w:rPr>
          <w:rFonts w:cs="Times New Roman"/>
          <w:szCs w:val="24"/>
        </w:rPr>
        <w:t>muga</w:t>
      </w:r>
      <w:r w:rsidR="00F4499B">
        <w:rPr>
          <w:rFonts w:cs="Times New Roman"/>
          <w:szCs w:val="24"/>
        </w:rPr>
        <w:t xml:space="preserve"> –</w:t>
      </w:r>
      <w:r w:rsidR="00602E6E" w:rsidRPr="00602E6E">
        <w:rPr>
          <w:rFonts w:cs="Times New Roman"/>
          <w:szCs w:val="24"/>
        </w:rPr>
        <w:t xml:space="preserve"> </w:t>
      </w:r>
      <w:r w:rsidR="00F4499B">
        <w:rPr>
          <w:rFonts w:cs="Times New Roman"/>
          <w:szCs w:val="24"/>
        </w:rPr>
        <w:t>t</w:t>
      </w:r>
      <w:r w:rsidR="00602E6E" w:rsidRPr="00602E6E">
        <w:rPr>
          <w:rFonts w:cs="Times New Roman"/>
          <w:szCs w:val="24"/>
        </w:rPr>
        <w:t>alvekuudel</w:t>
      </w:r>
      <w:r w:rsidR="00F4499B">
        <w:rPr>
          <w:rFonts w:cs="Times New Roman"/>
          <w:szCs w:val="24"/>
        </w:rPr>
        <w:t xml:space="preserve"> </w:t>
      </w:r>
      <w:r w:rsidR="00F4499B" w:rsidRPr="00602E6E">
        <w:rPr>
          <w:rFonts w:cs="Times New Roman"/>
          <w:szCs w:val="24"/>
        </w:rPr>
        <w:t xml:space="preserve">on </w:t>
      </w:r>
      <w:r w:rsidR="00602E6E" w:rsidRPr="00602E6E">
        <w:rPr>
          <w:rFonts w:cs="Times New Roman"/>
          <w:szCs w:val="24"/>
        </w:rPr>
        <w:t xml:space="preserve">võrreldes suvekuudega toetusesaajaid ligikaudu kaks korda enam, mis näitab, et eakate pension on iseseisvaks toimetulekuks üldjuhul piisav, kuid </w:t>
      </w:r>
      <w:r w:rsidR="00F4499B">
        <w:rPr>
          <w:rFonts w:cs="Times New Roman"/>
          <w:szCs w:val="24"/>
        </w:rPr>
        <w:t>raskused tekivad</w:t>
      </w:r>
      <w:r w:rsidR="00602E6E" w:rsidRPr="00602E6E">
        <w:rPr>
          <w:rFonts w:cs="Times New Roman"/>
          <w:szCs w:val="24"/>
        </w:rPr>
        <w:t xml:space="preserve"> kütte- ja elektrikulude eest tasumise</w:t>
      </w:r>
      <w:r w:rsidR="00F4499B">
        <w:rPr>
          <w:rFonts w:cs="Times New Roman"/>
          <w:szCs w:val="24"/>
        </w:rPr>
        <w:t>l</w:t>
      </w:r>
      <w:r w:rsidR="00602E6E" w:rsidRPr="00602E6E">
        <w:rPr>
          <w:rFonts w:cs="Times New Roman"/>
          <w:szCs w:val="24"/>
        </w:rPr>
        <w:t xml:space="preserve">. </w:t>
      </w:r>
    </w:p>
    <w:p w:rsidR="00BA35EF" w:rsidRDefault="00BA35EF" w:rsidP="00A1282E">
      <w:pPr>
        <w:rPr>
          <w:rFonts w:cs="Times New Roman"/>
          <w:bCs/>
          <w:color w:val="111111"/>
          <w:kern w:val="36"/>
          <w:szCs w:val="24"/>
        </w:rPr>
      </w:pPr>
    </w:p>
    <w:p w:rsidR="001F2796" w:rsidRDefault="001F2796" w:rsidP="001F2796">
      <w:pPr>
        <w:spacing w:after="0"/>
        <w:rPr>
          <w:rFonts w:cs="Times New Roman"/>
          <w:bCs/>
          <w:color w:val="111111"/>
          <w:kern w:val="36"/>
          <w:szCs w:val="24"/>
        </w:rPr>
      </w:pPr>
      <w:r>
        <w:rPr>
          <w:rFonts w:cs="Times New Roman"/>
          <w:bCs/>
          <w:color w:val="111111"/>
          <w:kern w:val="36"/>
          <w:szCs w:val="24"/>
        </w:rPr>
        <w:t>Mari Väli</w:t>
      </w:r>
    </w:p>
    <w:p w:rsidR="001F2796" w:rsidRDefault="001F2796" w:rsidP="001F2796">
      <w:pPr>
        <w:spacing w:after="0"/>
        <w:rPr>
          <w:rFonts w:cs="Times New Roman"/>
          <w:bCs/>
          <w:color w:val="111111"/>
          <w:kern w:val="36"/>
          <w:szCs w:val="24"/>
        </w:rPr>
      </w:pPr>
      <w:r>
        <w:rPr>
          <w:rFonts w:cs="Times New Roman"/>
          <w:bCs/>
          <w:color w:val="111111"/>
          <w:kern w:val="36"/>
          <w:szCs w:val="24"/>
        </w:rPr>
        <w:t>mari.vali@riigikogu.ee</w:t>
      </w:r>
    </w:p>
    <w:p w:rsidR="001F2796" w:rsidRDefault="001F2796" w:rsidP="001F2796">
      <w:pPr>
        <w:spacing w:after="0" w:line="240" w:lineRule="auto"/>
        <w:rPr>
          <w:rFonts w:cs="Times New Roman"/>
          <w:bCs/>
          <w:color w:val="111111"/>
          <w:kern w:val="36"/>
          <w:szCs w:val="24"/>
        </w:rPr>
      </w:pPr>
    </w:p>
    <w:p w:rsidR="001F2796" w:rsidRDefault="001F2796" w:rsidP="00A1282E">
      <w:pPr>
        <w:rPr>
          <w:rFonts w:cs="Times New Roman"/>
          <w:bCs/>
          <w:color w:val="111111"/>
          <w:kern w:val="36"/>
          <w:szCs w:val="24"/>
        </w:rPr>
      </w:pPr>
    </w:p>
    <w:p w:rsidR="004325C4" w:rsidRPr="00676E7D" w:rsidRDefault="004325C4" w:rsidP="00A1282E">
      <w:pPr>
        <w:rPr>
          <w:rFonts w:cs="Times New Roman"/>
          <w:bCs/>
          <w:color w:val="111111"/>
          <w:kern w:val="36"/>
          <w:sz w:val="22"/>
        </w:rPr>
      </w:pPr>
      <w:r w:rsidRPr="00676E7D">
        <w:rPr>
          <w:rFonts w:cs="Times New Roman"/>
          <w:bCs/>
          <w:color w:val="111111"/>
          <w:kern w:val="36"/>
          <w:sz w:val="22"/>
        </w:rPr>
        <w:t>Allikad:</w:t>
      </w:r>
    </w:p>
    <w:p w:rsidR="0087464B" w:rsidRPr="0087464B" w:rsidRDefault="00A07431" w:rsidP="00A1282E">
      <w:pPr>
        <w:rPr>
          <w:rStyle w:val="Rhutus"/>
          <w:rFonts w:cs="Times New Roman"/>
          <w:sz w:val="22"/>
        </w:rPr>
      </w:pPr>
      <w:proofErr w:type="spellStart"/>
      <w:r w:rsidRPr="00676E7D">
        <w:rPr>
          <w:rFonts w:cs="Times New Roman"/>
          <w:bCs/>
          <w:color w:val="111111"/>
          <w:kern w:val="36"/>
          <w:sz w:val="22"/>
        </w:rPr>
        <w:t>Pensions</w:t>
      </w:r>
      <w:proofErr w:type="spellEnd"/>
      <w:r w:rsidRPr="00676E7D">
        <w:rPr>
          <w:rFonts w:cs="Times New Roman"/>
          <w:bCs/>
          <w:color w:val="111111"/>
          <w:kern w:val="36"/>
          <w:sz w:val="22"/>
        </w:rPr>
        <w:t xml:space="preserve"> at a </w:t>
      </w:r>
      <w:proofErr w:type="spellStart"/>
      <w:r w:rsidRPr="00676E7D">
        <w:rPr>
          <w:rFonts w:cs="Times New Roman"/>
          <w:bCs/>
          <w:color w:val="111111"/>
          <w:kern w:val="36"/>
          <w:sz w:val="22"/>
        </w:rPr>
        <w:t>Glance</w:t>
      </w:r>
      <w:proofErr w:type="spellEnd"/>
      <w:r w:rsidRPr="00676E7D">
        <w:rPr>
          <w:rFonts w:cs="Times New Roman"/>
          <w:bCs/>
          <w:color w:val="111111"/>
          <w:kern w:val="36"/>
          <w:sz w:val="22"/>
        </w:rPr>
        <w:t xml:space="preserve"> 2011: Retirement-Income Systems in OECD and G20 </w:t>
      </w:r>
      <w:proofErr w:type="spellStart"/>
      <w:r w:rsidRPr="00676E7D">
        <w:rPr>
          <w:rFonts w:cs="Times New Roman"/>
          <w:bCs/>
          <w:color w:val="111111"/>
          <w:kern w:val="36"/>
          <w:sz w:val="22"/>
        </w:rPr>
        <w:t>Countries</w:t>
      </w:r>
      <w:proofErr w:type="spellEnd"/>
      <w:r w:rsidRPr="00676E7D">
        <w:rPr>
          <w:rFonts w:cs="Times New Roman"/>
          <w:b/>
          <w:bCs/>
          <w:color w:val="111111"/>
          <w:kern w:val="36"/>
          <w:sz w:val="22"/>
        </w:rPr>
        <w:t xml:space="preserve"> </w:t>
      </w:r>
      <w:hyperlink r:id="rId10" w:history="1">
        <w:r w:rsidRPr="0087464B">
          <w:rPr>
            <w:rStyle w:val="Hperlink"/>
            <w:rFonts w:cs="Times New Roman"/>
            <w:iCs/>
            <w:sz w:val="22"/>
          </w:rPr>
          <w:t>www.oecd.org/els/social/pensions/PAG</w:t>
        </w:r>
      </w:hyperlink>
    </w:p>
    <w:p w:rsidR="00A07431" w:rsidRPr="00676E7D" w:rsidRDefault="001E0510" w:rsidP="00A1282E">
      <w:pPr>
        <w:rPr>
          <w:rFonts w:cs="Times New Roman"/>
          <w:sz w:val="22"/>
        </w:rPr>
      </w:pPr>
      <w:r w:rsidRPr="00676E7D">
        <w:rPr>
          <w:rFonts w:cs="Times New Roman"/>
          <w:sz w:val="22"/>
        </w:rPr>
        <w:t xml:space="preserve">The EU's Mutual Information System on Social Protection (MISSOC) </w:t>
      </w:r>
      <w:hyperlink r:id="rId11" w:history="1">
        <w:r w:rsidRPr="00676E7D">
          <w:rPr>
            <w:rStyle w:val="Hperlink"/>
            <w:rFonts w:cs="Times New Roman"/>
            <w:sz w:val="22"/>
          </w:rPr>
          <w:t>http://ec.europa.eu/employment_social/missoc/db/public/compareTables.do?lang=en</w:t>
        </w:r>
      </w:hyperlink>
      <w:r w:rsidRPr="00676E7D">
        <w:rPr>
          <w:rFonts w:cs="Times New Roman"/>
          <w:sz w:val="22"/>
        </w:rPr>
        <w:t xml:space="preserve"> </w:t>
      </w:r>
    </w:p>
    <w:p w:rsidR="004325C4" w:rsidRPr="00676E7D" w:rsidRDefault="004325C4" w:rsidP="00A1282E">
      <w:pPr>
        <w:rPr>
          <w:rFonts w:cs="Times New Roman"/>
          <w:sz w:val="22"/>
        </w:rPr>
      </w:pPr>
      <w:r w:rsidRPr="00676E7D">
        <w:rPr>
          <w:rFonts w:cs="Times New Roman"/>
          <w:sz w:val="22"/>
        </w:rPr>
        <w:t xml:space="preserve">Trumm, Avo; Kasearu, Kairi. </w:t>
      </w:r>
      <w:hyperlink r:id="rId12" w:history="1">
        <w:r w:rsidRPr="00676E7D">
          <w:rPr>
            <w:rStyle w:val="Hperlink"/>
            <w:rFonts w:cs="Times New Roman"/>
            <w:sz w:val="22"/>
          </w:rPr>
          <w:t>Toimetulekutoetuse uuringu lõpparuanne</w:t>
        </w:r>
      </w:hyperlink>
      <w:r w:rsidRPr="00676E7D">
        <w:rPr>
          <w:rFonts w:cs="Times New Roman"/>
          <w:sz w:val="22"/>
        </w:rPr>
        <w:t xml:space="preserve">. AS </w:t>
      </w:r>
      <w:proofErr w:type="spellStart"/>
      <w:r w:rsidRPr="00676E7D">
        <w:rPr>
          <w:rFonts w:cs="Times New Roman"/>
          <w:sz w:val="22"/>
        </w:rPr>
        <w:t>Resta</w:t>
      </w:r>
      <w:proofErr w:type="spellEnd"/>
      <w:r w:rsidRPr="00676E7D">
        <w:rPr>
          <w:rFonts w:cs="Times New Roman"/>
          <w:sz w:val="22"/>
        </w:rPr>
        <w:t xml:space="preserve">, Tartu Ülikooli Sotsioloogia ja sotsiaalpoliitika instituut / Sotsiaalministeerium 2011 </w:t>
      </w:r>
    </w:p>
    <w:p w:rsidR="00FE4BE5" w:rsidRPr="00676E7D" w:rsidRDefault="00FE4BE5" w:rsidP="00A1282E">
      <w:pPr>
        <w:rPr>
          <w:rFonts w:cs="Times New Roman"/>
          <w:sz w:val="20"/>
          <w:szCs w:val="20"/>
        </w:rPr>
      </w:pPr>
      <w:proofErr w:type="spellStart"/>
      <w:r w:rsidRPr="00676E7D">
        <w:rPr>
          <w:rFonts w:cs="Times New Roman"/>
          <w:sz w:val="22"/>
        </w:rPr>
        <w:t>Eurostat</w:t>
      </w:r>
      <w:proofErr w:type="spellEnd"/>
      <w:r w:rsidRPr="00676E7D">
        <w:rPr>
          <w:rFonts w:cs="Times New Roman"/>
          <w:sz w:val="22"/>
        </w:rPr>
        <w:t>.</w:t>
      </w:r>
      <w:r>
        <w:rPr>
          <w:rFonts w:cs="Times New Roman"/>
          <w:szCs w:val="24"/>
        </w:rPr>
        <w:t xml:space="preserve"> </w:t>
      </w:r>
      <w:hyperlink r:id="rId13" w:history="1">
        <w:r w:rsidR="0087464B" w:rsidRPr="009B0C34">
          <w:rPr>
            <w:rStyle w:val="Hperlink"/>
            <w:rFonts w:cs="Times New Roman"/>
            <w:sz w:val="20"/>
            <w:szCs w:val="20"/>
          </w:rPr>
          <w:t>http://epp.eurostat.ec.europa.eu/portal/page/portal/income_social_inclusion_living_conditions/data/database</w:t>
        </w:r>
      </w:hyperlink>
      <w:r w:rsidR="0087464B">
        <w:rPr>
          <w:rFonts w:cs="Times New Roman"/>
          <w:sz w:val="20"/>
          <w:szCs w:val="20"/>
        </w:rPr>
        <w:t xml:space="preserve"> </w:t>
      </w:r>
    </w:p>
    <w:sectPr w:rsidR="00FE4BE5" w:rsidRPr="00676E7D" w:rsidSect="007D4E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D8" w:rsidRDefault="003242D8" w:rsidP="0073151A">
      <w:pPr>
        <w:spacing w:after="0" w:line="240" w:lineRule="auto"/>
      </w:pPr>
      <w:r>
        <w:separator/>
      </w:r>
    </w:p>
  </w:endnote>
  <w:endnote w:type="continuationSeparator" w:id="0">
    <w:p w:rsidR="003242D8" w:rsidRDefault="003242D8" w:rsidP="0073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D8" w:rsidRDefault="003242D8" w:rsidP="0073151A">
      <w:pPr>
        <w:spacing w:after="0" w:line="240" w:lineRule="auto"/>
      </w:pPr>
      <w:r>
        <w:separator/>
      </w:r>
    </w:p>
  </w:footnote>
  <w:footnote w:type="continuationSeparator" w:id="0">
    <w:p w:rsidR="003242D8" w:rsidRDefault="003242D8" w:rsidP="0073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85C"/>
    <w:multiLevelType w:val="multilevel"/>
    <w:tmpl w:val="1674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E13B1"/>
    <w:multiLevelType w:val="multilevel"/>
    <w:tmpl w:val="5C36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D5E21"/>
    <w:multiLevelType w:val="hybridMultilevel"/>
    <w:tmpl w:val="AA446DBE"/>
    <w:lvl w:ilvl="0" w:tplc="CF2C77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B6D23"/>
    <w:multiLevelType w:val="hybridMultilevel"/>
    <w:tmpl w:val="C7941E82"/>
    <w:lvl w:ilvl="0" w:tplc="A67210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82E"/>
    <w:rsid w:val="000316C1"/>
    <w:rsid w:val="00064BBA"/>
    <w:rsid w:val="000A0D45"/>
    <w:rsid w:val="000B1949"/>
    <w:rsid w:val="000F1FB5"/>
    <w:rsid w:val="001060C7"/>
    <w:rsid w:val="00132300"/>
    <w:rsid w:val="00132BEC"/>
    <w:rsid w:val="00173371"/>
    <w:rsid w:val="00175762"/>
    <w:rsid w:val="001D7A70"/>
    <w:rsid w:val="001E0510"/>
    <w:rsid w:val="001E742C"/>
    <w:rsid w:val="001F2796"/>
    <w:rsid w:val="00210912"/>
    <w:rsid w:val="00217A16"/>
    <w:rsid w:val="00222064"/>
    <w:rsid w:val="00226E65"/>
    <w:rsid w:val="00240FAD"/>
    <w:rsid w:val="00252A10"/>
    <w:rsid w:val="00276F1B"/>
    <w:rsid w:val="0029294C"/>
    <w:rsid w:val="002E3CE9"/>
    <w:rsid w:val="002E7E78"/>
    <w:rsid w:val="0031717F"/>
    <w:rsid w:val="003242D8"/>
    <w:rsid w:val="00334675"/>
    <w:rsid w:val="00350931"/>
    <w:rsid w:val="00383793"/>
    <w:rsid w:val="00386DA3"/>
    <w:rsid w:val="00394964"/>
    <w:rsid w:val="003B3DF6"/>
    <w:rsid w:val="003C6903"/>
    <w:rsid w:val="0040455C"/>
    <w:rsid w:val="0041150A"/>
    <w:rsid w:val="004138E2"/>
    <w:rsid w:val="004208E8"/>
    <w:rsid w:val="004325C4"/>
    <w:rsid w:val="00443041"/>
    <w:rsid w:val="0046010E"/>
    <w:rsid w:val="004B6B62"/>
    <w:rsid w:val="004C7785"/>
    <w:rsid w:val="0050361A"/>
    <w:rsid w:val="0050663B"/>
    <w:rsid w:val="005465BF"/>
    <w:rsid w:val="005566CA"/>
    <w:rsid w:val="005850F6"/>
    <w:rsid w:val="005A3046"/>
    <w:rsid w:val="005D3351"/>
    <w:rsid w:val="00602E6E"/>
    <w:rsid w:val="006113C2"/>
    <w:rsid w:val="0061365D"/>
    <w:rsid w:val="006202BD"/>
    <w:rsid w:val="00623C3C"/>
    <w:rsid w:val="006307D3"/>
    <w:rsid w:val="00636015"/>
    <w:rsid w:val="00636221"/>
    <w:rsid w:val="00637277"/>
    <w:rsid w:val="0064384B"/>
    <w:rsid w:val="00651518"/>
    <w:rsid w:val="00676E7D"/>
    <w:rsid w:val="006818D4"/>
    <w:rsid w:val="006B36CA"/>
    <w:rsid w:val="006E63E9"/>
    <w:rsid w:val="006E6B5F"/>
    <w:rsid w:val="0073151A"/>
    <w:rsid w:val="0073181A"/>
    <w:rsid w:val="007509E3"/>
    <w:rsid w:val="0075714C"/>
    <w:rsid w:val="007619A4"/>
    <w:rsid w:val="00766CE9"/>
    <w:rsid w:val="0078379D"/>
    <w:rsid w:val="007C016C"/>
    <w:rsid w:val="007D4E3E"/>
    <w:rsid w:val="007D7359"/>
    <w:rsid w:val="008101C1"/>
    <w:rsid w:val="00844B9E"/>
    <w:rsid w:val="00847844"/>
    <w:rsid w:val="0085331E"/>
    <w:rsid w:val="00863262"/>
    <w:rsid w:val="0087464B"/>
    <w:rsid w:val="0087658E"/>
    <w:rsid w:val="0088669B"/>
    <w:rsid w:val="008A4293"/>
    <w:rsid w:val="008A7E91"/>
    <w:rsid w:val="008B75B7"/>
    <w:rsid w:val="008E3587"/>
    <w:rsid w:val="008F2DA3"/>
    <w:rsid w:val="00902FCA"/>
    <w:rsid w:val="0092358C"/>
    <w:rsid w:val="00923DDE"/>
    <w:rsid w:val="00932DC9"/>
    <w:rsid w:val="0094590A"/>
    <w:rsid w:val="009826CE"/>
    <w:rsid w:val="00994267"/>
    <w:rsid w:val="00995693"/>
    <w:rsid w:val="009A2D45"/>
    <w:rsid w:val="009E2F55"/>
    <w:rsid w:val="009F6A0D"/>
    <w:rsid w:val="00A07431"/>
    <w:rsid w:val="00A1282E"/>
    <w:rsid w:val="00A212B2"/>
    <w:rsid w:val="00A438A3"/>
    <w:rsid w:val="00A844B3"/>
    <w:rsid w:val="00A85C9C"/>
    <w:rsid w:val="00A86778"/>
    <w:rsid w:val="00AB1484"/>
    <w:rsid w:val="00AC39CD"/>
    <w:rsid w:val="00B22C54"/>
    <w:rsid w:val="00B23EA5"/>
    <w:rsid w:val="00B24671"/>
    <w:rsid w:val="00B577AD"/>
    <w:rsid w:val="00B7670E"/>
    <w:rsid w:val="00BA35EF"/>
    <w:rsid w:val="00BA64AA"/>
    <w:rsid w:val="00BB0531"/>
    <w:rsid w:val="00BB520A"/>
    <w:rsid w:val="00BE6309"/>
    <w:rsid w:val="00BF2AF2"/>
    <w:rsid w:val="00BF310A"/>
    <w:rsid w:val="00BF3B40"/>
    <w:rsid w:val="00C25D52"/>
    <w:rsid w:val="00C35E31"/>
    <w:rsid w:val="00C3607D"/>
    <w:rsid w:val="00C52022"/>
    <w:rsid w:val="00C57D9B"/>
    <w:rsid w:val="00C8427A"/>
    <w:rsid w:val="00C92BDB"/>
    <w:rsid w:val="00CD3B33"/>
    <w:rsid w:val="00D1552A"/>
    <w:rsid w:val="00D23400"/>
    <w:rsid w:val="00D34A4D"/>
    <w:rsid w:val="00D80045"/>
    <w:rsid w:val="00DD7180"/>
    <w:rsid w:val="00DE2830"/>
    <w:rsid w:val="00DE3E3D"/>
    <w:rsid w:val="00DE4E1A"/>
    <w:rsid w:val="00E230EC"/>
    <w:rsid w:val="00E31E36"/>
    <w:rsid w:val="00E51057"/>
    <w:rsid w:val="00E546C2"/>
    <w:rsid w:val="00E6480D"/>
    <w:rsid w:val="00E773AC"/>
    <w:rsid w:val="00EA039B"/>
    <w:rsid w:val="00ED593B"/>
    <w:rsid w:val="00EF0C24"/>
    <w:rsid w:val="00F02EAD"/>
    <w:rsid w:val="00F16F19"/>
    <w:rsid w:val="00F44731"/>
    <w:rsid w:val="00F4499B"/>
    <w:rsid w:val="00F72C55"/>
    <w:rsid w:val="00F84325"/>
    <w:rsid w:val="00F94873"/>
    <w:rsid w:val="00FD5F49"/>
    <w:rsid w:val="00FD772A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D7180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C25D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et-EE"/>
    </w:rPr>
  </w:style>
  <w:style w:type="character" w:styleId="Rhutus">
    <w:name w:val="Emphasis"/>
    <w:basedOn w:val="Liguvaikefont"/>
    <w:uiPriority w:val="20"/>
    <w:qFormat/>
    <w:rsid w:val="00C25D52"/>
    <w:rPr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0531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A07431"/>
    <w:rPr>
      <w:color w:val="2973BD"/>
      <w:u w:val="single"/>
    </w:rPr>
  </w:style>
  <w:style w:type="paragraph" w:styleId="Loendilik">
    <w:name w:val="List Paragraph"/>
    <w:basedOn w:val="Normaallaad"/>
    <w:uiPriority w:val="34"/>
    <w:qFormat/>
    <w:rsid w:val="00252A10"/>
    <w:pPr>
      <w:ind w:left="720"/>
      <w:contextualSpacing/>
    </w:pPr>
  </w:style>
  <w:style w:type="character" w:customStyle="1" w:styleId="st">
    <w:name w:val="st"/>
    <w:basedOn w:val="Liguvaikefont"/>
    <w:rsid w:val="00F94873"/>
  </w:style>
  <w:style w:type="paragraph" w:styleId="Allmrkusetekst">
    <w:name w:val="footnote text"/>
    <w:basedOn w:val="Normaallaad"/>
    <w:link w:val="AllmrkusetekstMrk"/>
    <w:semiHidden/>
    <w:rsid w:val="0073151A"/>
    <w:pPr>
      <w:spacing w:after="0" w:line="240" w:lineRule="auto"/>
      <w:ind w:left="720" w:hanging="720"/>
      <w:jc w:val="both"/>
    </w:pPr>
    <w:rPr>
      <w:rFonts w:eastAsia="Times New Roman" w:cs="Times New Roman"/>
      <w:sz w:val="20"/>
      <w:szCs w:val="20"/>
      <w:lang w:eastAsia="en-GB"/>
    </w:rPr>
  </w:style>
  <w:style w:type="character" w:customStyle="1" w:styleId="AllmrkusetekstMrk">
    <w:name w:val="Allmärkuse tekst Märk"/>
    <w:basedOn w:val="Liguvaikefont"/>
    <w:link w:val="Allmrkusetekst"/>
    <w:semiHidden/>
    <w:rsid w:val="0073151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llmrkuseviide">
    <w:name w:val="footnote reference"/>
    <w:basedOn w:val="Liguvaikefont"/>
    <w:semiHidden/>
    <w:rsid w:val="0073151A"/>
    <w:rPr>
      <w:vertAlign w:val="superscript"/>
    </w:rPr>
  </w:style>
  <w:style w:type="paragraph" w:customStyle="1" w:styleId="p">
    <w:name w:val="p"/>
    <w:basedOn w:val="Normaallaad"/>
    <w:rsid w:val="001D7A70"/>
    <w:pPr>
      <w:spacing w:before="120" w:after="120" w:line="240" w:lineRule="auto"/>
      <w:ind w:left="400" w:right="700"/>
      <w:jc w:val="both"/>
    </w:pPr>
    <w:rPr>
      <w:rFonts w:ascii="Arial" w:hAnsi="Arial" w:cs="Arial"/>
      <w:sz w:val="20"/>
      <w:szCs w:val="20"/>
      <w:lang w:eastAsia="et-EE"/>
    </w:rPr>
  </w:style>
  <w:style w:type="character" w:styleId="Tugev">
    <w:name w:val="Strong"/>
    <w:basedOn w:val="Liguvaikefont"/>
    <w:uiPriority w:val="22"/>
    <w:qFormat/>
    <w:rsid w:val="001D7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pp.eurostat.ec.europa.eu/portal/page/portal/income_social_inclusion_living_conditions/data/databa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m.ee/fileadmin/meedia/Dokumendid/Sotsiaalvaldkond/kogumik/Toimetulekutoetuse_uuringu_lopparuanne_L&#213;PL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mployment_social/missoc/db/public/compareTables.do?lang=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kummel\kodu$\mvali\www.oecd.org\els\social\pensions\P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p.eurostat.ec.europa.eu/portal/page/portal/income_social_inclusion_living_conditions/data/database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ummel\kodu$\mvali\vaesusrisk1pension&#228;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t-EE"/>
  <c:chart>
    <c:plotArea>
      <c:layout>
        <c:manualLayout>
          <c:layoutTarget val="inner"/>
          <c:xMode val="edge"/>
          <c:yMode val="edge"/>
          <c:x val="0.13277800368850598"/>
          <c:y val="1.1662353394636869E-2"/>
          <c:w val="0.83611469618929302"/>
          <c:h val="0.92357888805359389"/>
        </c:manualLayout>
      </c:layout>
      <c:barChart>
        <c:barDir val="bar"/>
        <c:grouping val="clustered"/>
        <c:ser>
          <c:idx val="0"/>
          <c:order val="0"/>
          <c:tx>
            <c:strRef>
              <c:f>Data!$B$10</c:f>
              <c:strCache>
                <c:ptCount val="1"/>
                <c:pt idx="0">
                  <c:v>üksik pensionär</c:v>
                </c:pt>
              </c:strCache>
            </c:strRef>
          </c:tx>
          <c:cat>
            <c:strRef>
              <c:f>Data!$A$11:$A$40</c:f>
              <c:strCache>
                <c:ptCount val="30"/>
                <c:pt idx="0">
                  <c:v>Holland</c:v>
                </c:pt>
                <c:pt idx="1">
                  <c:v>Luksemburg</c:v>
                </c:pt>
                <c:pt idx="2">
                  <c:v>Island</c:v>
                </c:pt>
                <c:pt idx="3">
                  <c:v>Prantsusmaa</c:v>
                </c:pt>
                <c:pt idx="4">
                  <c:v>Malta</c:v>
                </c:pt>
                <c:pt idx="5">
                  <c:v>Tšehhi</c:v>
                </c:pt>
                <c:pt idx="6">
                  <c:v>Taani</c:v>
                </c:pt>
                <c:pt idx="7">
                  <c:v>Ungari</c:v>
                </c:pt>
                <c:pt idx="8">
                  <c:v>Austria</c:v>
                </c:pt>
                <c:pt idx="9">
                  <c:v>Saksamaa</c:v>
                </c:pt>
                <c:pt idx="10">
                  <c:v>Belgia</c:v>
                </c:pt>
                <c:pt idx="11">
                  <c:v>Slovakkia</c:v>
                </c:pt>
                <c:pt idx="12">
                  <c:v>EL keskmine</c:v>
                </c:pt>
                <c:pt idx="13">
                  <c:v>UK</c:v>
                </c:pt>
                <c:pt idx="14">
                  <c:v>Norra</c:v>
                </c:pt>
                <c:pt idx="15">
                  <c:v>Iirimaa</c:v>
                </c:pt>
                <c:pt idx="16">
                  <c:v>Hispaania</c:v>
                </c:pt>
                <c:pt idx="17">
                  <c:v>Rootsi</c:v>
                </c:pt>
                <c:pt idx="18">
                  <c:v>Itaalia</c:v>
                </c:pt>
                <c:pt idx="19">
                  <c:v>Poola</c:v>
                </c:pt>
                <c:pt idx="20">
                  <c:v>Eesti</c:v>
                </c:pt>
                <c:pt idx="21">
                  <c:v>Kreeka</c:v>
                </c:pt>
                <c:pt idx="22">
                  <c:v>Soome</c:v>
                </c:pt>
                <c:pt idx="23">
                  <c:v>Leedu</c:v>
                </c:pt>
                <c:pt idx="24">
                  <c:v>Portugal</c:v>
                </c:pt>
                <c:pt idx="25">
                  <c:v>Sloveenia</c:v>
                </c:pt>
                <c:pt idx="26">
                  <c:v>Rumeenia</c:v>
                </c:pt>
                <c:pt idx="27">
                  <c:v>Läti</c:v>
                </c:pt>
                <c:pt idx="28">
                  <c:v>Küpros</c:v>
                </c:pt>
                <c:pt idx="29">
                  <c:v>Bulgaaria</c:v>
                </c:pt>
              </c:strCache>
            </c:strRef>
          </c:cat>
          <c:val>
            <c:numRef>
              <c:f>Data!$B$11:$B$40</c:f>
              <c:numCache>
                <c:formatCode>#,##0.0</c:formatCode>
                <c:ptCount val="30"/>
                <c:pt idx="0">
                  <c:v>7</c:v>
                </c:pt>
                <c:pt idx="1">
                  <c:v>8.2000000000000011</c:v>
                </c:pt>
                <c:pt idx="2">
                  <c:v>12.7</c:v>
                </c:pt>
                <c:pt idx="3">
                  <c:v>17</c:v>
                </c:pt>
                <c:pt idx="4">
                  <c:v>22.8</c:v>
                </c:pt>
                <c:pt idx="5">
                  <c:v>23.2</c:v>
                </c:pt>
                <c:pt idx="6">
                  <c:v>23.6</c:v>
                </c:pt>
                <c:pt idx="7">
                  <c:v>23.6</c:v>
                </c:pt>
                <c:pt idx="8">
                  <c:v>23.9</c:v>
                </c:pt>
                <c:pt idx="9">
                  <c:v>23.9</c:v>
                </c:pt>
                <c:pt idx="10">
                  <c:v>24.2</c:v>
                </c:pt>
                <c:pt idx="11">
                  <c:v>26.8</c:v>
                </c:pt>
                <c:pt idx="12">
                  <c:v>28.4</c:v>
                </c:pt>
                <c:pt idx="13">
                  <c:v>29.4</c:v>
                </c:pt>
                <c:pt idx="14">
                  <c:v>30.1</c:v>
                </c:pt>
                <c:pt idx="15" formatCode="General">
                  <c:v>30.3</c:v>
                </c:pt>
                <c:pt idx="16">
                  <c:v>30.9</c:v>
                </c:pt>
                <c:pt idx="17">
                  <c:v>32.200000000000003</c:v>
                </c:pt>
                <c:pt idx="18">
                  <c:v>32.4</c:v>
                </c:pt>
                <c:pt idx="19">
                  <c:v>32.800000000000011</c:v>
                </c:pt>
                <c:pt idx="20">
                  <c:v>34.200000000000003</c:v>
                </c:pt>
                <c:pt idx="21">
                  <c:v>39.4</c:v>
                </c:pt>
                <c:pt idx="22">
                  <c:v>39.800000000000011</c:v>
                </c:pt>
                <c:pt idx="23">
                  <c:v>40.700000000000003</c:v>
                </c:pt>
                <c:pt idx="24">
                  <c:v>41.8</c:v>
                </c:pt>
                <c:pt idx="25">
                  <c:v>46.2</c:v>
                </c:pt>
                <c:pt idx="26">
                  <c:v>52.8</c:v>
                </c:pt>
                <c:pt idx="27">
                  <c:v>54.6</c:v>
                </c:pt>
                <c:pt idx="28" formatCode="General">
                  <c:v>64.2</c:v>
                </c:pt>
                <c:pt idx="29">
                  <c:v>78.900000000000006</c:v>
                </c:pt>
              </c:numCache>
            </c:numRef>
          </c:val>
        </c:ser>
        <c:ser>
          <c:idx val="1"/>
          <c:order val="1"/>
          <c:tx>
            <c:strRef>
              <c:f>Data!$C$10</c:f>
              <c:strCache>
                <c:ptCount val="1"/>
                <c:pt idx="0">
                  <c:v>pensionäripaar</c:v>
                </c:pt>
              </c:strCache>
            </c:strRef>
          </c:tx>
          <c:cat>
            <c:strRef>
              <c:f>Data!$A$11:$A$40</c:f>
              <c:strCache>
                <c:ptCount val="30"/>
                <c:pt idx="0">
                  <c:v>Holland</c:v>
                </c:pt>
                <c:pt idx="1">
                  <c:v>Luksemburg</c:v>
                </c:pt>
                <c:pt idx="2">
                  <c:v>Island</c:v>
                </c:pt>
                <c:pt idx="3">
                  <c:v>Prantsusmaa</c:v>
                </c:pt>
                <c:pt idx="4">
                  <c:v>Malta</c:v>
                </c:pt>
                <c:pt idx="5">
                  <c:v>Tšehhi</c:v>
                </c:pt>
                <c:pt idx="6">
                  <c:v>Taani</c:v>
                </c:pt>
                <c:pt idx="7">
                  <c:v>Ungari</c:v>
                </c:pt>
                <c:pt idx="8">
                  <c:v>Austria</c:v>
                </c:pt>
                <c:pt idx="9">
                  <c:v>Saksamaa</c:v>
                </c:pt>
                <c:pt idx="10">
                  <c:v>Belgia</c:v>
                </c:pt>
                <c:pt idx="11">
                  <c:v>Slovakkia</c:v>
                </c:pt>
                <c:pt idx="12">
                  <c:v>EL keskmine</c:v>
                </c:pt>
                <c:pt idx="13">
                  <c:v>UK</c:v>
                </c:pt>
                <c:pt idx="14">
                  <c:v>Norra</c:v>
                </c:pt>
                <c:pt idx="15">
                  <c:v>Iirimaa</c:v>
                </c:pt>
                <c:pt idx="16">
                  <c:v>Hispaania</c:v>
                </c:pt>
                <c:pt idx="17">
                  <c:v>Rootsi</c:v>
                </c:pt>
                <c:pt idx="18">
                  <c:v>Itaalia</c:v>
                </c:pt>
                <c:pt idx="19">
                  <c:v>Poola</c:v>
                </c:pt>
                <c:pt idx="20">
                  <c:v>Eesti</c:v>
                </c:pt>
                <c:pt idx="21">
                  <c:v>Kreeka</c:v>
                </c:pt>
                <c:pt idx="22">
                  <c:v>Soome</c:v>
                </c:pt>
                <c:pt idx="23">
                  <c:v>Leedu</c:v>
                </c:pt>
                <c:pt idx="24">
                  <c:v>Portugal</c:v>
                </c:pt>
                <c:pt idx="25">
                  <c:v>Sloveenia</c:v>
                </c:pt>
                <c:pt idx="26">
                  <c:v>Rumeenia</c:v>
                </c:pt>
                <c:pt idx="27">
                  <c:v>Läti</c:v>
                </c:pt>
                <c:pt idx="28">
                  <c:v>Küpros</c:v>
                </c:pt>
                <c:pt idx="29">
                  <c:v>Bulgaaria</c:v>
                </c:pt>
              </c:strCache>
            </c:strRef>
          </c:cat>
          <c:val>
            <c:numRef>
              <c:f>Data!$C$11:$C$40</c:f>
              <c:numCache>
                <c:formatCode>#,##0.0</c:formatCode>
                <c:ptCount val="30"/>
                <c:pt idx="0">
                  <c:v>6.7</c:v>
                </c:pt>
                <c:pt idx="1">
                  <c:v>6.5</c:v>
                </c:pt>
                <c:pt idx="2">
                  <c:v>2.9</c:v>
                </c:pt>
                <c:pt idx="3">
                  <c:v>9.9</c:v>
                </c:pt>
                <c:pt idx="4">
                  <c:v>27.3</c:v>
                </c:pt>
                <c:pt idx="5">
                  <c:v>6.9</c:v>
                </c:pt>
                <c:pt idx="6">
                  <c:v>14.9</c:v>
                </c:pt>
                <c:pt idx="7">
                  <c:v>16.399999999999999</c:v>
                </c:pt>
                <c:pt idx="8">
                  <c:v>14.6</c:v>
                </c:pt>
                <c:pt idx="9">
                  <c:v>12.2</c:v>
                </c:pt>
                <c:pt idx="10">
                  <c:v>22.3</c:v>
                </c:pt>
                <c:pt idx="11">
                  <c:v>14.2</c:v>
                </c:pt>
                <c:pt idx="12">
                  <c:v>17.399999999999999</c:v>
                </c:pt>
                <c:pt idx="13">
                  <c:v>19.399999999999999</c:v>
                </c:pt>
                <c:pt idx="14">
                  <c:v>1.8</c:v>
                </c:pt>
                <c:pt idx="15" formatCode="General">
                  <c:v>17.3</c:v>
                </c:pt>
                <c:pt idx="16">
                  <c:v>25.4</c:v>
                </c:pt>
                <c:pt idx="17">
                  <c:v>6</c:v>
                </c:pt>
                <c:pt idx="18">
                  <c:v>17.7</c:v>
                </c:pt>
                <c:pt idx="19">
                  <c:v>24.8</c:v>
                </c:pt>
                <c:pt idx="20">
                  <c:v>13.8</c:v>
                </c:pt>
                <c:pt idx="21">
                  <c:v>29.8</c:v>
                </c:pt>
                <c:pt idx="22">
                  <c:v>7.2</c:v>
                </c:pt>
                <c:pt idx="23">
                  <c:v>26.2</c:v>
                </c:pt>
                <c:pt idx="24">
                  <c:v>27.9</c:v>
                </c:pt>
                <c:pt idx="25">
                  <c:v>16.399999999999999</c:v>
                </c:pt>
                <c:pt idx="26">
                  <c:v>37.700000000000003</c:v>
                </c:pt>
                <c:pt idx="27">
                  <c:v>34.4</c:v>
                </c:pt>
                <c:pt idx="28" formatCode="General">
                  <c:v>52.7</c:v>
                </c:pt>
                <c:pt idx="29">
                  <c:v>54.4</c:v>
                </c:pt>
              </c:numCache>
            </c:numRef>
          </c:val>
        </c:ser>
        <c:ser>
          <c:idx val="2"/>
          <c:order val="2"/>
          <c:tx>
            <c:strRef>
              <c:f>Data!$D$10</c:f>
              <c:strCache>
                <c:ptCount val="1"/>
                <c:pt idx="0">
                  <c:v>kogu elanikkond</c:v>
                </c:pt>
              </c:strCache>
            </c:strRef>
          </c:tx>
          <c:cat>
            <c:strRef>
              <c:f>Data!$A$11:$A$40</c:f>
              <c:strCache>
                <c:ptCount val="30"/>
                <c:pt idx="0">
                  <c:v>Holland</c:v>
                </c:pt>
                <c:pt idx="1">
                  <c:v>Luksemburg</c:v>
                </c:pt>
                <c:pt idx="2">
                  <c:v>Island</c:v>
                </c:pt>
                <c:pt idx="3">
                  <c:v>Prantsusmaa</c:v>
                </c:pt>
                <c:pt idx="4">
                  <c:v>Malta</c:v>
                </c:pt>
                <c:pt idx="5">
                  <c:v>Tšehhi</c:v>
                </c:pt>
                <c:pt idx="6">
                  <c:v>Taani</c:v>
                </c:pt>
                <c:pt idx="7">
                  <c:v>Ungari</c:v>
                </c:pt>
                <c:pt idx="8">
                  <c:v>Austria</c:v>
                </c:pt>
                <c:pt idx="9">
                  <c:v>Saksamaa</c:v>
                </c:pt>
                <c:pt idx="10">
                  <c:v>Belgia</c:v>
                </c:pt>
                <c:pt idx="11">
                  <c:v>Slovakkia</c:v>
                </c:pt>
                <c:pt idx="12">
                  <c:v>EL keskmine</c:v>
                </c:pt>
                <c:pt idx="13">
                  <c:v>UK</c:v>
                </c:pt>
                <c:pt idx="14">
                  <c:v>Norra</c:v>
                </c:pt>
                <c:pt idx="15">
                  <c:v>Iirimaa</c:v>
                </c:pt>
                <c:pt idx="16">
                  <c:v>Hispaania</c:v>
                </c:pt>
                <c:pt idx="17">
                  <c:v>Rootsi</c:v>
                </c:pt>
                <c:pt idx="18">
                  <c:v>Itaalia</c:v>
                </c:pt>
                <c:pt idx="19">
                  <c:v>Poola</c:v>
                </c:pt>
                <c:pt idx="20">
                  <c:v>Eesti</c:v>
                </c:pt>
                <c:pt idx="21">
                  <c:v>Kreeka</c:v>
                </c:pt>
                <c:pt idx="22">
                  <c:v>Soome</c:v>
                </c:pt>
                <c:pt idx="23">
                  <c:v>Leedu</c:v>
                </c:pt>
                <c:pt idx="24">
                  <c:v>Portugal</c:v>
                </c:pt>
                <c:pt idx="25">
                  <c:v>Sloveenia</c:v>
                </c:pt>
                <c:pt idx="26">
                  <c:v>Rumeenia</c:v>
                </c:pt>
                <c:pt idx="27">
                  <c:v>Läti</c:v>
                </c:pt>
                <c:pt idx="28">
                  <c:v>Küpros</c:v>
                </c:pt>
                <c:pt idx="29">
                  <c:v>Bulgaaria</c:v>
                </c:pt>
              </c:strCache>
            </c:strRef>
          </c:cat>
          <c:val>
            <c:numRef>
              <c:f>Data!$D$11:$D$40</c:f>
              <c:numCache>
                <c:formatCode>#,##0.0</c:formatCode>
                <c:ptCount val="30"/>
                <c:pt idx="0">
                  <c:v>15.1</c:v>
                </c:pt>
                <c:pt idx="1">
                  <c:v>17.100000000000001</c:v>
                </c:pt>
                <c:pt idx="2">
                  <c:v>13.8</c:v>
                </c:pt>
                <c:pt idx="3">
                  <c:v>19.3</c:v>
                </c:pt>
                <c:pt idx="4">
                  <c:v>20.6</c:v>
                </c:pt>
                <c:pt idx="5">
                  <c:v>14.4</c:v>
                </c:pt>
                <c:pt idx="6">
                  <c:v>18.399999999999999</c:v>
                </c:pt>
                <c:pt idx="7">
                  <c:v>29.9</c:v>
                </c:pt>
                <c:pt idx="8">
                  <c:v>16.600000000000001</c:v>
                </c:pt>
                <c:pt idx="9">
                  <c:v>19.8</c:v>
                </c:pt>
                <c:pt idx="10">
                  <c:v>20.8</c:v>
                </c:pt>
                <c:pt idx="11">
                  <c:v>20.6</c:v>
                </c:pt>
                <c:pt idx="12">
                  <c:v>23.4</c:v>
                </c:pt>
                <c:pt idx="13">
                  <c:v>23.1</c:v>
                </c:pt>
                <c:pt idx="14">
                  <c:v>14.8</c:v>
                </c:pt>
                <c:pt idx="15" formatCode="General">
                  <c:v>25.7</c:v>
                </c:pt>
                <c:pt idx="16">
                  <c:v>25.5</c:v>
                </c:pt>
                <c:pt idx="17">
                  <c:v>15.1</c:v>
                </c:pt>
                <c:pt idx="18">
                  <c:v>24.5</c:v>
                </c:pt>
                <c:pt idx="19">
                  <c:v>27.8</c:v>
                </c:pt>
                <c:pt idx="20">
                  <c:v>21.8</c:v>
                </c:pt>
                <c:pt idx="21">
                  <c:v>27.7</c:v>
                </c:pt>
                <c:pt idx="22">
                  <c:v>16.899999999999999</c:v>
                </c:pt>
                <c:pt idx="23">
                  <c:v>33.4</c:v>
                </c:pt>
                <c:pt idx="24">
                  <c:v>25.2</c:v>
                </c:pt>
                <c:pt idx="25">
                  <c:v>18.3</c:v>
                </c:pt>
                <c:pt idx="26">
                  <c:v>41.4</c:v>
                </c:pt>
                <c:pt idx="27">
                  <c:v>38.1</c:v>
                </c:pt>
                <c:pt idx="28" formatCode="General">
                  <c:v>22.2</c:v>
                </c:pt>
                <c:pt idx="29">
                  <c:v>41.6</c:v>
                </c:pt>
              </c:numCache>
            </c:numRef>
          </c:val>
        </c:ser>
        <c:axId val="73584000"/>
        <c:axId val="75213824"/>
      </c:barChart>
      <c:catAx>
        <c:axId val="7358400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et-EE"/>
          </a:p>
        </c:txPr>
        <c:crossAx val="75213824"/>
        <c:crosses val="autoZero"/>
        <c:auto val="1"/>
        <c:lblAlgn val="ctr"/>
        <c:lblOffset val="100"/>
      </c:catAx>
      <c:valAx>
        <c:axId val="75213824"/>
        <c:scaling>
          <c:orientation val="minMax"/>
          <c:max val="80"/>
        </c:scaling>
        <c:axPos val="b"/>
        <c:majorGridlines/>
        <c:numFmt formatCode="#,##0.0" sourceLinked="1"/>
        <c:tickLblPos val="nextTo"/>
        <c:crossAx val="7358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38424802162868"/>
          <c:y val="0.73743135792236481"/>
          <c:w val="0.23309862582966606"/>
          <c:h val="0.17406713634479903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Riigikogu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mvali</dc:creator>
  <cp:lastModifiedBy>mmuul</cp:lastModifiedBy>
  <cp:revision>3</cp:revision>
  <dcterms:created xsi:type="dcterms:W3CDTF">2012-01-23T15:17:00Z</dcterms:created>
  <dcterms:modified xsi:type="dcterms:W3CDTF">2012-02-08T14:41:00Z</dcterms:modified>
</cp:coreProperties>
</file>